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bookmarkStart w:id="0" w:name="_GoBack"/>
      <w:bookmarkEnd w:id="0"/>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090947">
        <w:rPr>
          <w:rFonts w:ascii="Palatino Linotype" w:hAnsi="Palatino Linotype" w:cs="Arial"/>
          <w:b/>
          <w:sz w:val="24"/>
          <w:szCs w:val="24"/>
        </w:rPr>
        <w:t>04475</w:t>
      </w:r>
      <w:r w:rsidR="00C7250F" w:rsidRPr="0009123A">
        <w:rPr>
          <w:rFonts w:ascii="Palatino Linotype" w:hAnsi="Palatino Linotype" w:cs="Arial"/>
          <w:b/>
          <w:sz w:val="24"/>
          <w:szCs w:val="24"/>
        </w:rPr>
        <w:t>/INFOEM/IP/RR/2018</w:t>
      </w:r>
      <w:r w:rsidR="00090947">
        <w:rPr>
          <w:rFonts w:ascii="Palatino Linotype" w:hAnsi="Palatino Linotype" w:cs="Arial"/>
          <w:b/>
          <w:sz w:val="24"/>
          <w:szCs w:val="24"/>
        </w:rPr>
        <w:t xml:space="preserve"> y 04831/INFOEM/IP/RR/2018.</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83373E">
      <w:pPr>
        <w:spacing w:after="0" w:line="360" w:lineRule="auto"/>
        <w:jc w:val="both"/>
        <w:rPr>
          <w:rFonts w:ascii="Palatino Linotype" w:hAnsi="Palatino Linotype" w:cs="Arial"/>
          <w:sz w:val="24"/>
          <w:szCs w:val="24"/>
        </w:rPr>
      </w:pPr>
    </w:p>
    <w:p w:rsidR="0046491C"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Los órganos del Estado, tienen el deber que tienen dentro del margen de sus atribuciones, de prevenir violaciones a los derechos fundamentales.</w:t>
      </w:r>
    </w:p>
    <w:p w:rsidR="0083373E" w:rsidRDefault="0083373E" w:rsidP="0083373E">
      <w:pPr>
        <w:spacing w:after="0" w:line="360" w:lineRule="auto"/>
        <w:jc w:val="both"/>
        <w:rPr>
          <w:rFonts w:ascii="Palatino Linotype" w:hAnsi="Palatino Linotype" w:cs="Arial"/>
          <w:sz w:val="24"/>
          <w:szCs w:val="24"/>
        </w:rPr>
      </w:pPr>
    </w:p>
    <w:p w:rsidR="0083373E" w:rsidRPr="0009123A" w:rsidRDefault="0083373E" w:rsidP="0083373E">
      <w:pPr>
        <w:spacing w:after="0" w:line="360" w:lineRule="auto"/>
        <w:jc w:val="both"/>
        <w:rPr>
          <w:rFonts w:ascii="Palatino Linotype" w:hAnsi="Palatino Linotype" w:cs="Arial"/>
          <w:sz w:val="24"/>
          <w:szCs w:val="24"/>
        </w:rPr>
      </w:pPr>
      <w:r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702BD9" w:rsidRDefault="0083373E" w:rsidP="00E34F0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520</wp:posOffset>
                </wp:positionH>
                <wp:positionV relativeFrom="paragraph">
                  <wp:posOffset>123560</wp:posOffset>
                </wp:positionV>
                <wp:extent cx="5522026" cy="4619501"/>
                <wp:effectExtent l="19050" t="19050" r="21590" b="29210"/>
                <wp:wrapNone/>
                <wp:docPr id="1" name="Conector recto 1"/>
                <wp:cNvGraphicFramePr/>
                <a:graphic xmlns:a="http://schemas.openxmlformats.org/drawingml/2006/main">
                  <a:graphicData uri="http://schemas.microsoft.com/office/word/2010/wordprocessingShape">
                    <wps:wsp>
                      <wps:cNvCnPr/>
                      <wps:spPr>
                        <a:xfrm>
                          <a:off x="0" y="0"/>
                          <a:ext cx="5522026" cy="4619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8F75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9.75pt" to="434.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" strokecolor="#5b9bd5 [3204]" strokeweight="3pt">
                <v:stroke joinstyle="miter"/>
              </v:line>
            </w:pict>
          </mc:Fallback>
        </mc:AlternateContent>
      </w: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Pr="0009123A" w:rsidRDefault="0083373E"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0E57DB">
          <w:pPr>
            <w:pStyle w:val="TtulodeTDC"/>
            <w:spacing w:line="600" w:lineRule="auto"/>
            <w:rPr>
              <w:rFonts w:ascii="Palatino Linotype" w:hAnsi="Palatino Linotype"/>
              <w:sz w:val="24"/>
              <w:szCs w:val="24"/>
            </w:rPr>
          </w:pPr>
        </w:p>
        <w:p w:rsidR="0083373E" w:rsidRDefault="0046491C">
          <w:pPr>
            <w:pStyle w:val="TDC1"/>
            <w:tabs>
              <w:tab w:val="left" w:pos="440"/>
              <w:tab w:val="right" w:leader="dot" w:pos="8828"/>
            </w:tabs>
            <w:rPr>
              <w:rFonts w:eastAsiaTheme="minorEastAsia"/>
              <w:noProof/>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2684129" w:history="1">
            <w:r w:rsidR="0083373E" w:rsidRPr="008B020A">
              <w:rPr>
                <w:rStyle w:val="Hipervnculo"/>
                <w:rFonts w:ascii="Palatino Linotype" w:hAnsi="Palatino Linotype"/>
                <w:b/>
                <w:noProof/>
              </w:rPr>
              <w:t>I.</w:t>
            </w:r>
            <w:r w:rsidR="0083373E">
              <w:rPr>
                <w:rFonts w:eastAsiaTheme="minorEastAsia"/>
                <w:noProof/>
                <w:lang w:eastAsia="es-MX"/>
              </w:rPr>
              <w:tab/>
            </w:r>
            <w:r w:rsidR="0083373E" w:rsidRPr="008B020A">
              <w:rPr>
                <w:rStyle w:val="Hipervnculo"/>
                <w:rFonts w:ascii="Palatino Linotype" w:hAnsi="Palatino Linotype"/>
                <w:b/>
                <w:noProof/>
              </w:rPr>
              <w:t>Consideraciones Generales.</w:t>
            </w:r>
            <w:r w:rsidR="0083373E">
              <w:rPr>
                <w:noProof/>
                <w:webHidden/>
              </w:rPr>
              <w:tab/>
            </w:r>
            <w:r w:rsidR="0083373E">
              <w:rPr>
                <w:noProof/>
                <w:webHidden/>
              </w:rPr>
              <w:fldChar w:fldCharType="begin"/>
            </w:r>
            <w:r w:rsidR="0083373E">
              <w:rPr>
                <w:noProof/>
                <w:webHidden/>
              </w:rPr>
              <w:instrText xml:space="preserve"> PAGEREF _Toc2684129 \h </w:instrText>
            </w:r>
            <w:r w:rsidR="0083373E">
              <w:rPr>
                <w:noProof/>
                <w:webHidden/>
              </w:rPr>
            </w:r>
            <w:r w:rsidR="0083373E">
              <w:rPr>
                <w:noProof/>
                <w:webHidden/>
              </w:rPr>
              <w:fldChar w:fldCharType="separate"/>
            </w:r>
            <w:r w:rsidR="00C60111">
              <w:rPr>
                <w:noProof/>
                <w:webHidden/>
              </w:rPr>
              <w:t>4</w:t>
            </w:r>
            <w:r w:rsidR="0083373E">
              <w:rPr>
                <w:noProof/>
                <w:webHidden/>
              </w:rPr>
              <w:fldChar w:fldCharType="end"/>
            </w:r>
          </w:hyperlink>
        </w:p>
        <w:p w:rsidR="0083373E" w:rsidRDefault="008C25CA">
          <w:pPr>
            <w:pStyle w:val="TDC1"/>
            <w:tabs>
              <w:tab w:val="left" w:pos="660"/>
              <w:tab w:val="right" w:leader="dot" w:pos="8828"/>
            </w:tabs>
            <w:rPr>
              <w:rFonts w:eastAsiaTheme="minorEastAsia"/>
              <w:noProof/>
              <w:lang w:eastAsia="es-MX"/>
            </w:rPr>
          </w:pPr>
          <w:hyperlink w:anchor="_Toc2684130" w:history="1">
            <w:r w:rsidR="0083373E" w:rsidRPr="008B020A">
              <w:rPr>
                <w:rStyle w:val="Hipervnculo"/>
                <w:rFonts w:ascii="Palatino Linotype" w:hAnsi="Palatino Linotype"/>
                <w:b/>
                <w:noProof/>
              </w:rPr>
              <w:t>II.</w:t>
            </w:r>
            <w:r w:rsidR="0083373E">
              <w:rPr>
                <w:rFonts w:eastAsiaTheme="minorEastAsia"/>
                <w:noProof/>
                <w:lang w:eastAsia="es-MX"/>
              </w:rPr>
              <w:tab/>
            </w:r>
            <w:r w:rsidR="0083373E" w:rsidRPr="008B020A">
              <w:rPr>
                <w:rStyle w:val="Hipervnculo"/>
                <w:rFonts w:ascii="Palatino Linotype" w:hAnsi="Palatino Linotype"/>
                <w:b/>
                <w:noProof/>
              </w:rPr>
              <w:t>De los requerimientos planteados en el recurso de revisión.</w:t>
            </w:r>
            <w:r w:rsidR="0083373E">
              <w:rPr>
                <w:noProof/>
                <w:webHidden/>
              </w:rPr>
              <w:tab/>
            </w:r>
            <w:r w:rsidR="0083373E">
              <w:rPr>
                <w:noProof/>
                <w:webHidden/>
              </w:rPr>
              <w:fldChar w:fldCharType="begin"/>
            </w:r>
            <w:r w:rsidR="0083373E">
              <w:rPr>
                <w:noProof/>
                <w:webHidden/>
              </w:rPr>
              <w:instrText xml:space="preserve"> PAGEREF _Toc2684130 \h </w:instrText>
            </w:r>
            <w:r w:rsidR="0083373E">
              <w:rPr>
                <w:noProof/>
                <w:webHidden/>
              </w:rPr>
            </w:r>
            <w:r w:rsidR="0083373E">
              <w:rPr>
                <w:noProof/>
                <w:webHidden/>
              </w:rPr>
              <w:fldChar w:fldCharType="separate"/>
            </w:r>
            <w:r w:rsidR="00C60111">
              <w:rPr>
                <w:noProof/>
                <w:webHidden/>
              </w:rPr>
              <w:t>6</w:t>
            </w:r>
            <w:r w:rsidR="0083373E">
              <w:rPr>
                <w:noProof/>
                <w:webHidden/>
              </w:rPr>
              <w:fldChar w:fldCharType="end"/>
            </w:r>
          </w:hyperlink>
        </w:p>
        <w:p w:rsidR="0083373E" w:rsidRDefault="008C25CA">
          <w:pPr>
            <w:pStyle w:val="TDC1"/>
            <w:tabs>
              <w:tab w:val="left" w:pos="660"/>
              <w:tab w:val="right" w:leader="dot" w:pos="8828"/>
            </w:tabs>
            <w:rPr>
              <w:rFonts w:eastAsiaTheme="minorEastAsia"/>
              <w:noProof/>
              <w:lang w:eastAsia="es-MX"/>
            </w:rPr>
          </w:pPr>
          <w:hyperlink w:anchor="_Toc2684131" w:history="1">
            <w:r w:rsidR="0083373E" w:rsidRPr="008B020A">
              <w:rPr>
                <w:rStyle w:val="Hipervnculo"/>
                <w:rFonts w:ascii="Palatino Linotype" w:hAnsi="Palatino Linotype"/>
                <w:b/>
                <w:noProof/>
              </w:rPr>
              <w:t>III.</w:t>
            </w:r>
            <w:r w:rsidR="0083373E">
              <w:rPr>
                <w:rFonts w:eastAsiaTheme="minorEastAsia"/>
                <w:noProof/>
                <w:lang w:eastAsia="es-MX"/>
              </w:rPr>
              <w:tab/>
            </w:r>
            <w:r w:rsidR="0083373E" w:rsidRPr="008B020A">
              <w:rPr>
                <w:rStyle w:val="Hipervnculo"/>
                <w:rFonts w:ascii="Palatino Linotype" w:hAnsi="Palatino Linotype"/>
                <w:b/>
                <w:noProof/>
              </w:rPr>
              <w:t>Los actos consentidos no deben invocarse en el derecho fundamental de acceder a la información pública gubernamental.</w:t>
            </w:r>
            <w:r w:rsidR="0083373E">
              <w:rPr>
                <w:noProof/>
                <w:webHidden/>
              </w:rPr>
              <w:tab/>
            </w:r>
            <w:r w:rsidR="0083373E">
              <w:rPr>
                <w:noProof/>
                <w:webHidden/>
              </w:rPr>
              <w:fldChar w:fldCharType="begin"/>
            </w:r>
            <w:r w:rsidR="0083373E">
              <w:rPr>
                <w:noProof/>
                <w:webHidden/>
              </w:rPr>
              <w:instrText xml:space="preserve"> PAGEREF _Toc2684131 \h </w:instrText>
            </w:r>
            <w:r w:rsidR="0083373E">
              <w:rPr>
                <w:noProof/>
                <w:webHidden/>
              </w:rPr>
            </w:r>
            <w:r w:rsidR="0083373E">
              <w:rPr>
                <w:noProof/>
                <w:webHidden/>
              </w:rPr>
              <w:fldChar w:fldCharType="separate"/>
            </w:r>
            <w:r w:rsidR="00C60111">
              <w:rPr>
                <w:noProof/>
                <w:webHidden/>
              </w:rPr>
              <w:t>11</w:t>
            </w:r>
            <w:r w:rsidR="0083373E">
              <w:rPr>
                <w:noProof/>
                <w:webHidden/>
              </w:rPr>
              <w:fldChar w:fldCharType="end"/>
            </w:r>
          </w:hyperlink>
        </w:p>
        <w:p w:rsidR="0083373E" w:rsidRDefault="008C25CA">
          <w:pPr>
            <w:pStyle w:val="TDC1"/>
            <w:tabs>
              <w:tab w:val="left" w:pos="660"/>
              <w:tab w:val="right" w:leader="dot" w:pos="8828"/>
            </w:tabs>
            <w:rPr>
              <w:rFonts w:eastAsiaTheme="minorEastAsia"/>
              <w:noProof/>
              <w:lang w:eastAsia="es-MX"/>
            </w:rPr>
          </w:pPr>
          <w:hyperlink w:anchor="_Toc2684132" w:history="1">
            <w:r w:rsidR="0083373E" w:rsidRPr="008B020A">
              <w:rPr>
                <w:rStyle w:val="Hipervnculo"/>
                <w:rFonts w:ascii="Palatino Linotype" w:hAnsi="Palatino Linotype"/>
                <w:b/>
                <w:noProof/>
              </w:rPr>
              <w:t>IV.</w:t>
            </w:r>
            <w:r w:rsidR="0083373E">
              <w:rPr>
                <w:rFonts w:eastAsiaTheme="minorEastAsia"/>
                <w:noProof/>
                <w:lang w:eastAsia="es-MX"/>
              </w:rPr>
              <w:tab/>
            </w:r>
            <w:r w:rsidR="0083373E" w:rsidRPr="008B020A">
              <w:rPr>
                <w:rStyle w:val="Hipervnculo"/>
                <w:rFonts w:ascii="Palatino Linotype" w:hAnsi="Palatino Linotype"/>
                <w:b/>
                <w:noProof/>
              </w:rPr>
              <w:t>Del Pronunciamiento Simple</w:t>
            </w:r>
            <w:r w:rsidR="0083373E">
              <w:rPr>
                <w:noProof/>
                <w:webHidden/>
              </w:rPr>
              <w:tab/>
            </w:r>
            <w:r w:rsidR="0083373E">
              <w:rPr>
                <w:noProof/>
                <w:webHidden/>
              </w:rPr>
              <w:fldChar w:fldCharType="begin"/>
            </w:r>
            <w:r w:rsidR="0083373E">
              <w:rPr>
                <w:noProof/>
                <w:webHidden/>
              </w:rPr>
              <w:instrText xml:space="preserve"> PAGEREF _Toc2684132 \h </w:instrText>
            </w:r>
            <w:r w:rsidR="0083373E">
              <w:rPr>
                <w:noProof/>
                <w:webHidden/>
              </w:rPr>
            </w:r>
            <w:r w:rsidR="0083373E">
              <w:rPr>
                <w:noProof/>
                <w:webHidden/>
              </w:rPr>
              <w:fldChar w:fldCharType="separate"/>
            </w:r>
            <w:r w:rsidR="00C60111">
              <w:rPr>
                <w:noProof/>
                <w:webHidden/>
              </w:rPr>
              <w:t>19</w:t>
            </w:r>
            <w:r w:rsidR="0083373E">
              <w:rPr>
                <w:noProof/>
                <w:webHidden/>
              </w:rPr>
              <w:fldChar w:fldCharType="end"/>
            </w:r>
          </w:hyperlink>
        </w:p>
        <w:p w:rsidR="0083373E" w:rsidRDefault="008C25CA">
          <w:pPr>
            <w:pStyle w:val="TDC1"/>
            <w:tabs>
              <w:tab w:val="left" w:pos="440"/>
              <w:tab w:val="right" w:leader="dot" w:pos="8828"/>
            </w:tabs>
            <w:rPr>
              <w:rFonts w:eastAsiaTheme="minorEastAsia"/>
              <w:noProof/>
              <w:lang w:eastAsia="es-MX"/>
            </w:rPr>
          </w:pPr>
          <w:hyperlink w:anchor="_Toc2684133" w:history="1">
            <w:r w:rsidR="0083373E" w:rsidRPr="008B020A">
              <w:rPr>
                <w:rStyle w:val="Hipervnculo"/>
                <w:rFonts w:ascii="Palatino Linotype" w:hAnsi="Palatino Linotype"/>
                <w:b/>
                <w:noProof/>
              </w:rPr>
              <w:t>a)</w:t>
            </w:r>
            <w:r w:rsidR="0083373E">
              <w:rPr>
                <w:rFonts w:eastAsiaTheme="minorEastAsia"/>
                <w:noProof/>
                <w:lang w:eastAsia="es-MX"/>
              </w:rPr>
              <w:tab/>
            </w:r>
            <w:r w:rsidR="0083373E" w:rsidRPr="008B020A">
              <w:rPr>
                <w:rStyle w:val="Hipervnculo"/>
                <w:rFonts w:ascii="Palatino Linotype" w:hAnsi="Palatino Linotype"/>
                <w:b/>
                <w:noProof/>
              </w:rPr>
              <w:t>Del Derecho de Acceso a la información pública y el deber de motivar.</w:t>
            </w:r>
            <w:r w:rsidR="0083373E">
              <w:rPr>
                <w:noProof/>
                <w:webHidden/>
              </w:rPr>
              <w:tab/>
            </w:r>
            <w:r w:rsidR="0083373E">
              <w:rPr>
                <w:noProof/>
                <w:webHidden/>
              </w:rPr>
              <w:fldChar w:fldCharType="begin"/>
            </w:r>
            <w:r w:rsidR="0083373E">
              <w:rPr>
                <w:noProof/>
                <w:webHidden/>
              </w:rPr>
              <w:instrText xml:space="preserve"> PAGEREF _Toc2684133 \h </w:instrText>
            </w:r>
            <w:r w:rsidR="0083373E">
              <w:rPr>
                <w:noProof/>
                <w:webHidden/>
              </w:rPr>
            </w:r>
            <w:r w:rsidR="0083373E">
              <w:rPr>
                <w:noProof/>
                <w:webHidden/>
              </w:rPr>
              <w:fldChar w:fldCharType="separate"/>
            </w:r>
            <w:r w:rsidR="00C60111">
              <w:rPr>
                <w:noProof/>
                <w:webHidden/>
              </w:rPr>
              <w:t>20</w:t>
            </w:r>
            <w:r w:rsidR="0083373E">
              <w:rPr>
                <w:noProof/>
                <w:webHidden/>
              </w:rPr>
              <w:fldChar w:fldCharType="end"/>
            </w:r>
          </w:hyperlink>
        </w:p>
        <w:p w:rsidR="0083373E" w:rsidRDefault="008C25CA">
          <w:pPr>
            <w:pStyle w:val="TDC1"/>
            <w:tabs>
              <w:tab w:val="left" w:pos="440"/>
              <w:tab w:val="right" w:leader="dot" w:pos="8828"/>
            </w:tabs>
            <w:rPr>
              <w:rFonts w:eastAsiaTheme="minorEastAsia"/>
              <w:noProof/>
              <w:lang w:eastAsia="es-MX"/>
            </w:rPr>
          </w:pPr>
          <w:hyperlink w:anchor="_Toc2684134" w:history="1">
            <w:r w:rsidR="0083373E" w:rsidRPr="008B020A">
              <w:rPr>
                <w:rStyle w:val="Hipervnculo"/>
                <w:rFonts w:ascii="Palatino Linotype" w:eastAsia="Calibri" w:hAnsi="Palatino Linotype"/>
                <w:b/>
                <w:noProof/>
              </w:rPr>
              <w:t>b)</w:t>
            </w:r>
            <w:r w:rsidR="0083373E">
              <w:rPr>
                <w:rFonts w:eastAsiaTheme="minorEastAsia"/>
                <w:noProof/>
                <w:lang w:eastAsia="es-MX"/>
              </w:rPr>
              <w:tab/>
            </w:r>
            <w:r w:rsidR="0083373E" w:rsidRPr="008B020A">
              <w:rPr>
                <w:rStyle w:val="Hipervnculo"/>
                <w:rFonts w:ascii="Palatino Linotype" w:eastAsia="Calibri" w:hAnsi="Palatino Linotype"/>
                <w:b/>
                <w:noProof/>
              </w:rPr>
              <w:t>De la fundamentación y motivación.</w:t>
            </w:r>
            <w:r w:rsidR="0083373E">
              <w:rPr>
                <w:noProof/>
                <w:webHidden/>
              </w:rPr>
              <w:tab/>
            </w:r>
            <w:r w:rsidR="0083373E">
              <w:rPr>
                <w:noProof/>
                <w:webHidden/>
              </w:rPr>
              <w:fldChar w:fldCharType="begin"/>
            </w:r>
            <w:r w:rsidR="0083373E">
              <w:rPr>
                <w:noProof/>
                <w:webHidden/>
              </w:rPr>
              <w:instrText xml:space="preserve"> PAGEREF _Toc2684134 \h </w:instrText>
            </w:r>
            <w:r w:rsidR="0083373E">
              <w:rPr>
                <w:noProof/>
                <w:webHidden/>
              </w:rPr>
            </w:r>
            <w:r w:rsidR="0083373E">
              <w:rPr>
                <w:noProof/>
                <w:webHidden/>
              </w:rPr>
              <w:fldChar w:fldCharType="separate"/>
            </w:r>
            <w:r w:rsidR="00C60111">
              <w:rPr>
                <w:noProof/>
                <w:webHidden/>
              </w:rPr>
              <w:t>25</w:t>
            </w:r>
            <w:r w:rsidR="0083373E">
              <w:rPr>
                <w:noProof/>
                <w:webHidden/>
              </w:rPr>
              <w:fldChar w:fldCharType="end"/>
            </w:r>
          </w:hyperlink>
        </w:p>
        <w:p w:rsidR="0046491C" w:rsidRPr="000E57DB" w:rsidRDefault="0046491C" w:rsidP="000E57DB">
          <w:pPr>
            <w:spacing w:line="60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72966" w:rsidRPr="000E57DB" w:rsidRDefault="00072966" w:rsidP="000E57DB">
      <w:pPr>
        <w:pStyle w:val="Ttulo1"/>
        <w:spacing w:line="600" w:lineRule="auto"/>
        <w:rPr>
          <w:rFonts w:ascii="Palatino Linotype" w:hAnsi="Palatino Linotype"/>
          <w:b/>
          <w:color w:val="auto"/>
          <w:sz w:val="24"/>
          <w:szCs w:val="24"/>
        </w:rPr>
      </w:pPr>
    </w:p>
    <w:p w:rsidR="00702BD9" w:rsidRDefault="00702BD9"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83373E" w:rsidRDefault="0083373E"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2684129"/>
      <w:r w:rsidRPr="0009123A">
        <w:rPr>
          <w:rFonts w:ascii="Palatino Linotype" w:hAnsi="Palatino Linotype"/>
          <w:b/>
          <w:color w:val="auto"/>
          <w:sz w:val="24"/>
          <w:szCs w:val="24"/>
        </w:rPr>
        <w:lastRenderedPageBreak/>
        <w:t>Consideraciones Generales.</w:t>
      </w:r>
      <w:bookmarkEnd w:id="1"/>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0E57DB"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090947">
        <w:rPr>
          <w:rFonts w:ascii="Palatino Linotype" w:hAnsi="Palatino Linotype" w:cs="Arial"/>
          <w:sz w:val="24"/>
          <w:szCs w:val="24"/>
        </w:rPr>
        <w:t>octava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090947">
        <w:rPr>
          <w:rFonts w:ascii="Palatino Linotype" w:hAnsi="Palatino Linotype" w:cs="Arial"/>
          <w:sz w:val="24"/>
          <w:szCs w:val="24"/>
        </w:rPr>
        <w:t>veintisiete</w:t>
      </w:r>
      <w:r w:rsidRPr="0009123A">
        <w:rPr>
          <w:rFonts w:ascii="Palatino Linotype" w:hAnsi="Palatino Linotype" w:cs="Arial"/>
          <w:sz w:val="24"/>
          <w:szCs w:val="24"/>
        </w:rPr>
        <w:t xml:space="preserve"> (</w:t>
      </w:r>
      <w:r w:rsidR="00090947">
        <w:rPr>
          <w:rFonts w:ascii="Palatino Linotype" w:hAnsi="Palatino Linotype" w:cs="Arial"/>
          <w:sz w:val="24"/>
          <w:szCs w:val="24"/>
        </w:rPr>
        <w:t>27</w:t>
      </w:r>
      <w:r w:rsidR="00225026" w:rsidRPr="0009123A">
        <w:rPr>
          <w:rFonts w:ascii="Palatino Linotype" w:hAnsi="Palatino Linotype" w:cs="Arial"/>
          <w:sz w:val="24"/>
          <w:szCs w:val="24"/>
        </w:rPr>
        <w:t xml:space="preserve">) de </w:t>
      </w:r>
      <w:r w:rsidR="000E57DB">
        <w:rPr>
          <w:rFonts w:ascii="Palatino Linotype" w:hAnsi="Palatino Linotype" w:cs="Arial"/>
          <w:sz w:val="24"/>
          <w:szCs w:val="24"/>
        </w:rPr>
        <w:t>febrero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77181" w:rsidRPr="0009123A">
        <w:rPr>
          <w:rFonts w:ascii="Palatino Linotype" w:hAnsi="Palatino Linotype" w:cs="Arial"/>
          <w:sz w:val="24"/>
          <w:szCs w:val="24"/>
        </w:rPr>
        <w:t xml:space="preserve">l </w:t>
      </w:r>
      <w:r w:rsidR="00090947">
        <w:rPr>
          <w:rFonts w:ascii="Palatino Linotype" w:hAnsi="Palatino Linotype" w:cs="Arial"/>
          <w:sz w:val="24"/>
          <w:szCs w:val="24"/>
        </w:rPr>
        <w:t>Ayuntamiento de San Martín de las Pirámides</w:t>
      </w:r>
      <w:r w:rsidRPr="0009123A">
        <w:rPr>
          <w:rFonts w:ascii="Palatino Linotype" w:hAnsi="Palatino Linotype" w:cs="Arial"/>
          <w:sz w:val="24"/>
          <w:szCs w:val="24"/>
        </w:rPr>
        <w:t>, procedimiento a</w:t>
      </w:r>
      <w:r w:rsidR="0000525F" w:rsidRPr="0009123A">
        <w:rPr>
          <w:rFonts w:ascii="Palatino Linotype" w:hAnsi="Palatino Linotype" w:cs="Arial"/>
          <w:sz w:val="24"/>
          <w:szCs w:val="24"/>
        </w:rPr>
        <w:t>l</w:t>
      </w:r>
      <w:r w:rsidR="00902248" w:rsidRPr="0009123A">
        <w:rPr>
          <w:rFonts w:ascii="Palatino Linotype" w:hAnsi="Palatino Linotype" w:cs="Arial"/>
          <w:sz w:val="24"/>
          <w:szCs w:val="24"/>
        </w:rPr>
        <w:t xml:space="preserve"> que se le asignó </w:t>
      </w:r>
      <w:r w:rsidR="0000525F" w:rsidRPr="0009123A">
        <w:rPr>
          <w:rFonts w:ascii="Palatino Linotype" w:hAnsi="Palatino Linotype" w:cs="Arial"/>
          <w:sz w:val="24"/>
          <w:szCs w:val="24"/>
        </w:rPr>
        <w:t>el</w:t>
      </w:r>
      <w:r w:rsidRPr="0009123A">
        <w:rPr>
          <w:rFonts w:ascii="Palatino Linotype" w:hAnsi="Palatino Linotype" w:cs="Arial"/>
          <w:sz w:val="24"/>
          <w:szCs w:val="24"/>
        </w:rPr>
        <w:t xml:space="preserve"> número de expediente </w:t>
      </w:r>
      <w:r w:rsidR="00090947">
        <w:rPr>
          <w:rFonts w:ascii="Palatino Linotype" w:hAnsi="Palatino Linotype" w:cs="Arial"/>
          <w:b/>
          <w:sz w:val="24"/>
          <w:szCs w:val="24"/>
        </w:rPr>
        <w:t>04475</w:t>
      </w:r>
      <w:r w:rsidR="00090947" w:rsidRPr="0009123A">
        <w:rPr>
          <w:rFonts w:ascii="Palatino Linotype" w:hAnsi="Palatino Linotype" w:cs="Arial"/>
          <w:b/>
          <w:sz w:val="24"/>
          <w:szCs w:val="24"/>
        </w:rPr>
        <w:t>/INFOEM/IP/RR/2018</w:t>
      </w:r>
      <w:r w:rsidR="00090947">
        <w:rPr>
          <w:rFonts w:ascii="Palatino Linotype" w:hAnsi="Palatino Linotype" w:cs="Arial"/>
          <w:b/>
          <w:sz w:val="24"/>
          <w:szCs w:val="24"/>
        </w:rPr>
        <w:t xml:space="preserve"> y 04831/INFOEM/IP/RR/2018.</w:t>
      </w:r>
    </w:p>
    <w:p w:rsidR="000E57DB" w:rsidRPr="0009123A" w:rsidRDefault="000E57DB" w:rsidP="000E57DB">
      <w:pPr>
        <w:pStyle w:val="Prrafodelista"/>
        <w:spacing w:after="0" w:line="360" w:lineRule="auto"/>
        <w:ind w:left="426"/>
        <w:jc w:val="both"/>
        <w:rPr>
          <w:rFonts w:ascii="Palatino Linotype" w:hAnsi="Palatino Linotype" w:cs="Arial"/>
          <w:sz w:val="24"/>
          <w:szCs w:val="24"/>
        </w:rPr>
      </w:pPr>
    </w:p>
    <w:p w:rsidR="0029712E" w:rsidRDefault="00C7250F" w:rsidP="0029712E">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 xml:space="preserve">El sentido de la Resolución puntualmente determina </w:t>
      </w:r>
      <w:r w:rsidR="00090947">
        <w:rPr>
          <w:rFonts w:ascii="Palatino Linotype" w:hAnsi="Palatino Linotype" w:cs="Arial"/>
          <w:b/>
          <w:sz w:val="24"/>
          <w:szCs w:val="24"/>
        </w:rPr>
        <w:t xml:space="preserve">Sobreseer </w:t>
      </w:r>
      <w:r w:rsidR="00090947" w:rsidRPr="00090947">
        <w:rPr>
          <w:rFonts w:ascii="Palatino Linotype" w:hAnsi="Palatino Linotype" w:cs="Arial"/>
          <w:sz w:val="24"/>
          <w:szCs w:val="24"/>
        </w:rPr>
        <w:t>el recurso de revisión</w:t>
      </w:r>
      <w:r w:rsidR="00090947">
        <w:rPr>
          <w:rFonts w:ascii="Palatino Linotype" w:hAnsi="Palatino Linotype" w:cs="Arial"/>
          <w:b/>
          <w:sz w:val="24"/>
          <w:szCs w:val="24"/>
        </w:rPr>
        <w:t xml:space="preserve"> </w:t>
      </w:r>
      <w:r w:rsidR="000E57DB">
        <w:rPr>
          <w:rFonts w:ascii="Palatino Linotype" w:hAnsi="Palatino Linotype" w:cs="Arial"/>
          <w:b/>
          <w:sz w:val="24"/>
          <w:szCs w:val="24"/>
        </w:rPr>
        <w:t xml:space="preserve"> </w:t>
      </w:r>
      <w:r w:rsidR="00090947">
        <w:rPr>
          <w:rFonts w:ascii="Palatino Linotype" w:hAnsi="Palatino Linotype" w:cs="Arial"/>
          <w:b/>
          <w:sz w:val="24"/>
          <w:szCs w:val="24"/>
        </w:rPr>
        <w:t>04475</w:t>
      </w:r>
      <w:r w:rsidR="00090947" w:rsidRPr="0009123A">
        <w:rPr>
          <w:rFonts w:ascii="Palatino Linotype" w:hAnsi="Palatino Linotype" w:cs="Arial"/>
          <w:b/>
          <w:sz w:val="24"/>
          <w:szCs w:val="24"/>
        </w:rPr>
        <w:t>/INFOEM/IP/RR/2018</w:t>
      </w:r>
      <w:r w:rsidR="00090947">
        <w:rPr>
          <w:rFonts w:ascii="Palatino Linotype" w:hAnsi="Palatino Linotype" w:cs="Arial"/>
          <w:b/>
          <w:sz w:val="24"/>
          <w:szCs w:val="24"/>
        </w:rPr>
        <w:t xml:space="preserve"> y MODIFICAR </w:t>
      </w:r>
      <w:r w:rsidR="00090947" w:rsidRPr="00090947">
        <w:rPr>
          <w:rFonts w:ascii="Palatino Linotype" w:hAnsi="Palatino Linotype" w:cs="Arial"/>
          <w:sz w:val="24"/>
          <w:szCs w:val="24"/>
        </w:rPr>
        <w:t>el recurso de revisión</w:t>
      </w:r>
      <w:r w:rsidR="00090947">
        <w:rPr>
          <w:rFonts w:ascii="Palatino Linotype" w:hAnsi="Palatino Linotype" w:cs="Arial"/>
          <w:b/>
          <w:sz w:val="24"/>
          <w:szCs w:val="24"/>
        </w:rPr>
        <w:t xml:space="preserve"> 04831/INFOEM/IP/RR/2018</w:t>
      </w:r>
      <w:r w:rsidR="0029712E">
        <w:rPr>
          <w:rFonts w:ascii="Palatino Linotype" w:hAnsi="Palatino Linotype" w:cs="Arial"/>
          <w:b/>
          <w:sz w:val="24"/>
          <w:szCs w:val="24"/>
        </w:rPr>
        <w:t xml:space="preserve"> </w:t>
      </w:r>
      <w:r w:rsidR="0029712E" w:rsidRPr="0029712E">
        <w:rPr>
          <w:rFonts w:ascii="Palatino Linotype" w:hAnsi="Palatino Linotype" w:cs="Arial"/>
          <w:sz w:val="24"/>
          <w:szCs w:val="24"/>
        </w:rPr>
        <w:t>ordenando la siguiente información:</w:t>
      </w:r>
    </w:p>
    <w:p w:rsidR="0029712E" w:rsidRPr="0029712E" w:rsidRDefault="0029712E" w:rsidP="0029712E">
      <w:pPr>
        <w:pStyle w:val="Prrafodelista"/>
        <w:rPr>
          <w:rFonts w:ascii="Palatino Linotype" w:hAnsi="Palatino Linotype" w:cs="Arial"/>
          <w:sz w:val="24"/>
          <w:szCs w:val="24"/>
        </w:rPr>
      </w:pPr>
    </w:p>
    <w:p w:rsidR="0029712E" w:rsidRPr="0029712E" w:rsidRDefault="0029712E" w:rsidP="0029712E">
      <w:pPr>
        <w:pStyle w:val="Prrafodelista"/>
        <w:spacing w:before="240" w:after="240" w:line="360" w:lineRule="auto"/>
        <w:ind w:left="567" w:right="616"/>
        <w:jc w:val="both"/>
        <w:rPr>
          <w:rFonts w:ascii="Palatino Linotype" w:hAnsi="Palatino Linotype"/>
          <w:i/>
        </w:rPr>
      </w:pPr>
      <w:r w:rsidRPr="0029712E">
        <w:rPr>
          <w:rFonts w:ascii="Palatino Linotype" w:hAnsi="Palatino Linotype" w:cs="Arial"/>
          <w:i/>
        </w:rPr>
        <w:t>“</w:t>
      </w:r>
      <w:r w:rsidRPr="0029712E">
        <w:rPr>
          <w:rFonts w:ascii="Palatino Linotype" w:hAnsi="Palatino Linotype"/>
          <w:i/>
        </w:rPr>
        <w:t>Los documentos en los que consten las partidas afectadas por el ejercicio de los recursos proporcionados por la Secretaría de Finanzas relativos al cobro de derechos por acceso a museos, monumentos y zonas arqueológicas, durante el periodo comprendido del primero de enero al veintiséis de noviembre de dos mil dieciocho.</w:t>
      </w:r>
    </w:p>
    <w:p w:rsidR="0029712E" w:rsidRPr="0029712E" w:rsidRDefault="0029712E" w:rsidP="0029712E">
      <w:pPr>
        <w:pStyle w:val="Sinespaciado"/>
        <w:spacing w:line="360" w:lineRule="auto"/>
        <w:ind w:left="567" w:right="616"/>
        <w:jc w:val="both"/>
        <w:rPr>
          <w:rFonts w:ascii="Palatino Linotype" w:hAnsi="Palatino Linotype"/>
          <w:i/>
        </w:rPr>
      </w:pPr>
    </w:p>
    <w:p w:rsidR="0029712E" w:rsidRPr="0029712E" w:rsidRDefault="0029712E" w:rsidP="0029712E">
      <w:pPr>
        <w:pStyle w:val="Sinespaciado"/>
        <w:spacing w:line="360" w:lineRule="auto"/>
        <w:ind w:left="567" w:right="616"/>
        <w:jc w:val="both"/>
        <w:rPr>
          <w:rFonts w:ascii="Palatino Linotype" w:hAnsi="Palatino Linotype" w:cs="Arial"/>
          <w:i/>
        </w:rPr>
      </w:pPr>
      <w:r w:rsidRPr="0029712E">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29712E">
        <w:rPr>
          <w:rFonts w:ascii="Palatino Linotype" w:hAnsi="Palatino Linotype" w:cs="Arial"/>
          <w:i/>
        </w:rPr>
        <w:lastRenderedPageBreak/>
        <w:t>eliminen dentro del soporte documental respectivo y se ponga a disposición de la Recurrente.</w:t>
      </w:r>
    </w:p>
    <w:p w:rsidR="0029712E" w:rsidRPr="0029712E" w:rsidRDefault="0029712E" w:rsidP="0029712E">
      <w:pPr>
        <w:pStyle w:val="Sinespaciado"/>
        <w:spacing w:line="360" w:lineRule="auto"/>
        <w:ind w:left="567" w:right="616"/>
        <w:jc w:val="both"/>
        <w:rPr>
          <w:rFonts w:ascii="Palatino Linotype" w:hAnsi="Palatino Linotype" w:cs="Arial"/>
          <w:i/>
        </w:rPr>
      </w:pPr>
    </w:p>
    <w:p w:rsidR="0029712E" w:rsidRPr="0029712E" w:rsidRDefault="0029712E" w:rsidP="0029712E">
      <w:pPr>
        <w:pStyle w:val="Sinespaciado"/>
        <w:spacing w:line="360" w:lineRule="auto"/>
        <w:ind w:left="567" w:right="616"/>
        <w:jc w:val="both"/>
        <w:rPr>
          <w:rFonts w:ascii="Palatino Linotype" w:hAnsi="Palatino Linotype" w:cs="Arial"/>
          <w:b/>
          <w:i/>
        </w:rPr>
      </w:pPr>
      <w:r w:rsidRPr="0029712E">
        <w:rPr>
          <w:rFonts w:ascii="Palatino Linotype" w:hAnsi="Palatino Linotype" w:cs="Arial"/>
          <w:b/>
          <w:i/>
        </w:rPr>
        <w:t>En el supuesto de que los recursos referidos no hayan sido ejercidos aún, bastará con que así lo haga del conocimiento del Recurrente.</w:t>
      </w:r>
    </w:p>
    <w:p w:rsidR="0029712E" w:rsidRPr="0029712E" w:rsidRDefault="0029712E" w:rsidP="0029712E">
      <w:pPr>
        <w:pStyle w:val="Sinespaciado"/>
        <w:spacing w:line="360" w:lineRule="auto"/>
        <w:ind w:left="567" w:right="616"/>
        <w:jc w:val="both"/>
        <w:rPr>
          <w:rFonts w:ascii="Palatino Linotype" w:hAnsi="Palatino Linotype" w:cs="Arial"/>
          <w:i/>
        </w:rPr>
      </w:pPr>
    </w:p>
    <w:p w:rsidR="0029712E" w:rsidRPr="0029712E" w:rsidRDefault="0029712E" w:rsidP="0029712E">
      <w:pPr>
        <w:spacing w:after="0" w:line="360" w:lineRule="auto"/>
        <w:ind w:left="567" w:right="616"/>
        <w:jc w:val="both"/>
        <w:rPr>
          <w:rFonts w:ascii="Palatino Linotype" w:hAnsi="Palatino Linotype" w:cs="Tahoma"/>
          <w:b/>
          <w:i/>
        </w:rPr>
      </w:pPr>
      <w:r w:rsidRPr="0029712E">
        <w:rPr>
          <w:rFonts w:ascii="Palatino Linotype" w:hAnsi="Palatino Linotype" w:cs="Arial"/>
          <w:i/>
        </w:rPr>
        <w:t>Asimismo, en caso de que el Recurrente requiera la entrega de la información en copias simples a su costa, a efecto de que el Sujeto Obligado dé pleno cumplimiento respecto de la entrega de la información en la modalidad referida, es necesario que informe al particular sobre el día, hora, lugar y costo para la reproducción de la información, para que posteriormente se proceda a la entrega de la misma.</w:t>
      </w:r>
      <w:r>
        <w:rPr>
          <w:rFonts w:ascii="Palatino Linotype" w:hAnsi="Palatino Linotype" w:cs="Arial"/>
          <w:i/>
        </w:rPr>
        <w:t>”</w:t>
      </w:r>
    </w:p>
    <w:p w:rsidR="00702BD9" w:rsidRPr="0009123A" w:rsidRDefault="00702BD9" w:rsidP="000E57DB">
      <w:pPr>
        <w:pStyle w:val="Prrafodelista"/>
        <w:spacing w:before="240" w:after="240" w:line="360" w:lineRule="auto"/>
        <w:ind w:left="360" w:right="49"/>
        <w:jc w:val="both"/>
        <w:rPr>
          <w:rFonts w:ascii="Palatino Linotype" w:hAnsi="Palatino Linotype" w:cs="Arial"/>
          <w:sz w:val="24"/>
          <w:szCs w:val="24"/>
        </w:rPr>
      </w:pPr>
    </w:p>
    <w:p w:rsidR="00090947" w:rsidRDefault="00090947" w:rsidP="00E34F08">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Mi voto particular se deriva del hecho de que en el estudio del proyecto de resolución hayan invocado los denominados actos consentidos, además de que en los puntos resolutivos se haga mención de que, de ser el caso que la información solicitada no obre en los archivos del Sujeto Obligado bastará con que se le haga de con</w:t>
      </w:r>
      <w:r w:rsidR="0083373E">
        <w:rPr>
          <w:rFonts w:ascii="Palatino Linotype" w:hAnsi="Palatino Linotype" w:cs="Arial"/>
          <w:sz w:val="24"/>
          <w:szCs w:val="24"/>
        </w:rPr>
        <w:t xml:space="preserve">ocimiento a la parte recurrente, esto último el llamado “pronunciamiento simple”, dos temas que no comparto y serán motivo de análisis en líneas subsecuentes. </w:t>
      </w:r>
    </w:p>
    <w:p w:rsidR="0029712E" w:rsidRDefault="0029712E" w:rsidP="0029712E">
      <w:pPr>
        <w:pStyle w:val="Prrafodelista"/>
        <w:spacing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2684130"/>
      <w:r w:rsidRPr="0009123A">
        <w:rPr>
          <w:rFonts w:ascii="Palatino Linotype" w:hAnsi="Palatino Linotype"/>
          <w:b/>
          <w:color w:val="auto"/>
          <w:sz w:val="24"/>
          <w:szCs w:val="24"/>
        </w:rPr>
        <w:t>De los requerimientos planteados en el recurso de revisión.</w:t>
      </w:r>
      <w:bookmarkEnd w:id="2"/>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777181" w:rsidRPr="000E57DB"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0D1743" w:rsidRPr="0009123A">
        <w:rPr>
          <w:rFonts w:ascii="Palatino Linotype" w:hAnsi="Palatino Linotype" w:cs="Arial"/>
          <w:sz w:val="24"/>
          <w:szCs w:val="24"/>
        </w:rPr>
        <w:t xml:space="preserve"> solicitó </w:t>
      </w:r>
      <w:r w:rsidRPr="0009123A">
        <w:rPr>
          <w:rFonts w:ascii="Palatino Linotype" w:hAnsi="Palatino Linotype" w:cs="Arial"/>
          <w:sz w:val="24"/>
          <w:szCs w:val="24"/>
        </w:rPr>
        <w:t xml:space="preserve">al </w:t>
      </w:r>
      <w:r w:rsidR="00777181" w:rsidRPr="0009123A">
        <w:rPr>
          <w:rFonts w:ascii="Palatino Linotype" w:hAnsi="Palatino Linotype" w:cs="Arial"/>
          <w:sz w:val="24"/>
          <w:szCs w:val="24"/>
        </w:rPr>
        <w:t xml:space="preserve">Sujeto Obligado, </w:t>
      </w:r>
      <w:r w:rsidR="0029712E">
        <w:rPr>
          <w:rFonts w:ascii="Palatino Linotype" w:hAnsi="Palatino Linotype" w:cs="Arial"/>
          <w:sz w:val="24"/>
          <w:szCs w:val="24"/>
        </w:rPr>
        <w:t>la siguiente información:</w:t>
      </w:r>
    </w:p>
    <w:p w:rsidR="0029712E" w:rsidRDefault="0029712E" w:rsidP="000E57D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29712E" w:rsidRDefault="0029712E" w:rsidP="0029712E">
      <w:pPr>
        <w:pStyle w:val="Prrafodelista"/>
        <w:numPr>
          <w:ilvl w:val="0"/>
          <w:numId w:val="26"/>
        </w:numPr>
        <w:spacing w:after="0" w:line="360" w:lineRule="auto"/>
        <w:ind w:left="567" w:right="616"/>
        <w:contextualSpacing w:val="0"/>
        <w:jc w:val="both"/>
        <w:rPr>
          <w:rFonts w:ascii="Palatino Linotype" w:hAnsi="Palatino Linotype"/>
          <w:i/>
        </w:rPr>
      </w:pPr>
      <w:r w:rsidRPr="001D6862">
        <w:rPr>
          <w:rFonts w:ascii="Palatino Linotype" w:hAnsi="Palatino Linotype"/>
          <w:b/>
          <w:i/>
          <w:u w:val="single"/>
        </w:rPr>
        <w:t>Solicitud 00044/MARTIPIR/IP/2018</w:t>
      </w:r>
      <w:r>
        <w:rPr>
          <w:rFonts w:ascii="Palatino Linotype" w:hAnsi="Palatino Linotype"/>
          <w:i/>
        </w:rPr>
        <w:t>: Copia simple de los comprobantes de pago o depósito correspondientes a los años 2016, 2017 y 2018, de la institución bancaria de los recursos entregados al municipio a través de la Secretaría de Finanzas del Gobierno del Estado de México, derivados del Convenio relativo a la entrega de recursos obtenidos por el acceso a los museos, monumentos y zonas arqueológicas conforme al artículo 288-G de la Ley Federal de Derechos.</w:t>
      </w:r>
    </w:p>
    <w:p w:rsidR="0029712E" w:rsidRDefault="0029712E" w:rsidP="0029712E">
      <w:pPr>
        <w:pStyle w:val="Prrafodelista"/>
        <w:spacing w:line="360" w:lineRule="auto"/>
        <w:ind w:left="567" w:right="616"/>
        <w:jc w:val="both"/>
        <w:rPr>
          <w:rFonts w:ascii="Palatino Linotype" w:hAnsi="Palatino Linotype"/>
          <w:i/>
        </w:rPr>
      </w:pPr>
    </w:p>
    <w:p w:rsidR="0029712E" w:rsidRPr="004E08B3" w:rsidRDefault="0029712E" w:rsidP="0029712E">
      <w:pPr>
        <w:pStyle w:val="Prrafodelista"/>
        <w:numPr>
          <w:ilvl w:val="0"/>
          <w:numId w:val="26"/>
        </w:numPr>
        <w:spacing w:after="0" w:line="360" w:lineRule="auto"/>
        <w:ind w:left="567" w:right="616"/>
        <w:contextualSpacing w:val="0"/>
        <w:jc w:val="both"/>
        <w:rPr>
          <w:rFonts w:ascii="Palatino Linotype" w:hAnsi="Palatino Linotype"/>
          <w:i/>
        </w:rPr>
      </w:pPr>
      <w:r w:rsidRPr="001D6862">
        <w:rPr>
          <w:rFonts w:ascii="Palatino Linotype" w:hAnsi="Palatino Linotype"/>
          <w:b/>
          <w:i/>
          <w:u w:val="single"/>
        </w:rPr>
        <w:t>Solicitud 00047/MARTIPIR/IP/2018</w:t>
      </w:r>
      <w:r>
        <w:rPr>
          <w:rFonts w:ascii="Palatino Linotype" w:hAnsi="Palatino Linotype"/>
          <w:i/>
        </w:rPr>
        <w:t>: Con base en el oficio 203340000/342/2018 mediante el cual el servidor público habilitado de la Unidad de Apoyo Técnico Financiero de la Subsecretaría de Tesorería informó al Titular de la Unidad de Transparencia de la Secretaría de Finanzas el monto recibido por el municipio de San Martín de las Pirámides correspondiente a los recursos obtenidos por acceso a museos, monumento y zonas arqueológicas durante el periodo enero a octubre de 2018, solicitó se le informe detalladamente lo siguiente:</w:t>
      </w:r>
    </w:p>
    <w:p w:rsidR="0029712E" w:rsidRPr="004E08B3" w:rsidRDefault="0029712E" w:rsidP="0029712E">
      <w:pPr>
        <w:pStyle w:val="Prrafodelista"/>
        <w:spacing w:line="360" w:lineRule="auto"/>
        <w:ind w:left="567" w:right="616"/>
        <w:rPr>
          <w:rFonts w:ascii="Palatino Linotype" w:hAnsi="Palatino Linotype"/>
          <w:i/>
        </w:rPr>
      </w:pPr>
    </w:p>
    <w:p w:rsidR="0029712E" w:rsidRDefault="0029712E" w:rsidP="0029712E">
      <w:pPr>
        <w:pStyle w:val="Prrafodelista"/>
        <w:numPr>
          <w:ilvl w:val="0"/>
          <w:numId w:val="27"/>
        </w:numPr>
        <w:spacing w:after="0" w:line="360" w:lineRule="auto"/>
        <w:ind w:left="851" w:right="616"/>
        <w:contextualSpacing w:val="0"/>
        <w:jc w:val="both"/>
        <w:rPr>
          <w:rFonts w:ascii="Palatino Linotype" w:hAnsi="Palatino Linotype"/>
          <w:i/>
        </w:rPr>
      </w:pPr>
      <w:r>
        <w:rPr>
          <w:rFonts w:ascii="Palatino Linotype" w:hAnsi="Palatino Linotype"/>
          <w:i/>
        </w:rPr>
        <w:t xml:space="preserve">Partidas de gasto en los que se haya ejercido dicho recurso a la fecha de ingreso de la solicitud, esto es al veintiséis de noviembre de dos mil dieciocho, agregando copia simple de los cabildos en los que se autorizó el gasto de dichos ingresos y/o copia simple del informe mensual en el que se informa a la Legislatura el ejercicio de </w:t>
      </w:r>
      <w:r>
        <w:rPr>
          <w:rFonts w:ascii="Palatino Linotype" w:hAnsi="Palatino Linotype"/>
          <w:i/>
        </w:rPr>
        <w:lastRenderedPageBreak/>
        <w:t>ingreso señalado, en el que se observe el sello de la Legislatura, así como la firma de todo el cabildo.</w:t>
      </w:r>
    </w:p>
    <w:p w:rsidR="0029712E" w:rsidRPr="0010751D" w:rsidRDefault="0029712E" w:rsidP="0029712E">
      <w:pPr>
        <w:pStyle w:val="Prrafodelista"/>
        <w:numPr>
          <w:ilvl w:val="0"/>
          <w:numId w:val="27"/>
        </w:numPr>
        <w:spacing w:after="0" w:line="360" w:lineRule="auto"/>
        <w:ind w:left="851" w:right="616"/>
        <w:contextualSpacing w:val="0"/>
        <w:jc w:val="both"/>
        <w:rPr>
          <w:rFonts w:ascii="Palatino Linotype" w:hAnsi="Palatino Linotype"/>
          <w:i/>
        </w:rPr>
      </w:pPr>
      <w:r>
        <w:rPr>
          <w:rFonts w:ascii="Palatino Linotype" w:hAnsi="Palatino Linotype"/>
          <w:i/>
        </w:rPr>
        <w:t>En el supuesto de que no se hayan ejercido o erogado, se informe sobre los proyectos en los que se tiene planeado ejercerlos.</w:t>
      </w:r>
    </w:p>
    <w:p w:rsidR="0029712E" w:rsidRDefault="0029712E" w:rsidP="000E57D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0E57DB"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09123A">
        <w:rPr>
          <w:rFonts w:ascii="Palatino Linotype" w:eastAsia="Calibri" w:hAnsi="Palatino Linotype" w:cs="Tahoma"/>
          <w:iCs/>
          <w:sz w:val="24"/>
          <w:szCs w:val="24"/>
          <w:lang w:val="es-ES" w:eastAsia="es-ES_tradnl"/>
        </w:rPr>
        <w:t xml:space="preserve">El Sujeto Obligado en respuesta, </w:t>
      </w:r>
      <w:r w:rsidR="000E57DB">
        <w:rPr>
          <w:rFonts w:ascii="Palatino Linotype" w:eastAsia="Calibri" w:hAnsi="Palatino Linotype" w:cs="Tahoma"/>
          <w:iCs/>
          <w:sz w:val="24"/>
          <w:szCs w:val="24"/>
          <w:lang w:val="es-ES" w:eastAsia="es-ES_tradnl"/>
        </w:rPr>
        <w:t>manifestó lo siguiente:</w:t>
      </w:r>
    </w:p>
    <w:p w:rsid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29712E" w:rsidRDefault="0029712E" w:rsidP="0029712E">
      <w:pPr>
        <w:pStyle w:val="Prrafodelista"/>
        <w:numPr>
          <w:ilvl w:val="0"/>
          <w:numId w:val="29"/>
        </w:numPr>
        <w:spacing w:after="0" w:line="360" w:lineRule="auto"/>
        <w:jc w:val="both"/>
        <w:rPr>
          <w:rFonts w:ascii="Palatino Linotype" w:eastAsia="Times New Roman" w:hAnsi="Palatino Linotype" w:cs="Times New Roman"/>
          <w:sz w:val="24"/>
          <w:szCs w:val="24"/>
          <w:lang w:eastAsia="es-ES"/>
        </w:rPr>
      </w:pPr>
      <w:r w:rsidRPr="0029712E">
        <w:rPr>
          <w:rFonts w:ascii="Palatino Linotype" w:eastAsia="Times New Roman" w:hAnsi="Palatino Linotype" w:cs="Times New Roman"/>
          <w:sz w:val="24"/>
          <w:szCs w:val="24"/>
          <w:lang w:eastAsia="es-ES"/>
        </w:rPr>
        <w:t xml:space="preserve">En la solicitud </w:t>
      </w:r>
      <w:r w:rsidRPr="0029712E">
        <w:rPr>
          <w:rFonts w:ascii="Palatino Linotype" w:eastAsia="Times New Roman" w:hAnsi="Palatino Linotype" w:cs="Times New Roman"/>
          <w:b/>
          <w:sz w:val="24"/>
          <w:szCs w:val="24"/>
          <w:lang w:eastAsia="es-ES"/>
        </w:rPr>
        <w:t>00044/MARTIPIR/IP/2018</w:t>
      </w:r>
      <w:r>
        <w:rPr>
          <w:rFonts w:ascii="Palatino Linotype" w:eastAsia="Times New Roman" w:hAnsi="Palatino Linotype" w:cs="Times New Roman"/>
          <w:b/>
          <w:sz w:val="24"/>
          <w:szCs w:val="24"/>
          <w:lang w:eastAsia="es-ES"/>
        </w:rPr>
        <w:t>,</w:t>
      </w:r>
      <w:r w:rsidRPr="0029712E">
        <w:rPr>
          <w:rFonts w:ascii="Palatino Linotype" w:eastAsia="Times New Roman" w:hAnsi="Palatino Linotype" w:cs="Times New Roman"/>
          <w:sz w:val="24"/>
          <w:szCs w:val="24"/>
          <w:lang w:eastAsia="es-ES"/>
        </w:rPr>
        <w:t xml:space="preserve"> entregó cinco comprobantes bancarios correspondientes a los siguientes periodos: 1) del dos al veintinueve de febrero de dos mil dieciséis; 2) del dieciocho al treinta y uno de enero de dos mil diecisiete; 3) del uno al veintiocho de febrero de dos mil diecisiete; 4) del uno al treinta y uno de octubre de dos mil diecisiete; y 5) del uno al veintiocho de febrero de dos mil dieciocho.</w:t>
      </w:r>
    </w:p>
    <w:p w:rsidR="0029712E" w:rsidRDefault="0029712E" w:rsidP="0029712E">
      <w:pPr>
        <w:pStyle w:val="Prrafodelista"/>
        <w:spacing w:after="0" w:line="360" w:lineRule="auto"/>
        <w:jc w:val="both"/>
        <w:rPr>
          <w:rFonts w:ascii="Palatino Linotype" w:eastAsia="Times New Roman" w:hAnsi="Palatino Linotype" w:cs="Times New Roman"/>
          <w:sz w:val="24"/>
          <w:szCs w:val="24"/>
          <w:lang w:eastAsia="es-ES"/>
        </w:rPr>
      </w:pPr>
    </w:p>
    <w:p w:rsidR="0029712E" w:rsidRDefault="0029712E" w:rsidP="0029712E">
      <w:pPr>
        <w:pStyle w:val="Prrafodelista"/>
        <w:numPr>
          <w:ilvl w:val="0"/>
          <w:numId w:val="29"/>
        </w:num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la solicitud </w:t>
      </w:r>
      <w:r>
        <w:rPr>
          <w:rFonts w:ascii="Palatino Linotype" w:eastAsia="Times New Roman" w:hAnsi="Palatino Linotype" w:cs="Times New Roman"/>
          <w:b/>
          <w:sz w:val="24"/>
          <w:szCs w:val="24"/>
          <w:lang w:eastAsia="es-ES"/>
        </w:rPr>
        <w:t>00047</w:t>
      </w:r>
      <w:r w:rsidRPr="00C1625D">
        <w:rPr>
          <w:rFonts w:ascii="Palatino Linotype" w:eastAsia="Times New Roman" w:hAnsi="Palatino Linotype" w:cs="Times New Roman"/>
          <w:b/>
          <w:sz w:val="24"/>
          <w:szCs w:val="24"/>
          <w:lang w:eastAsia="es-ES"/>
        </w:rPr>
        <w:t>/MARTIPIR/IP/2018</w:t>
      </w:r>
      <w:r>
        <w:rPr>
          <w:rFonts w:ascii="Palatino Linotype" w:eastAsia="Times New Roman" w:hAnsi="Palatino Linotype" w:cs="Times New Roman"/>
          <w:b/>
          <w:sz w:val="24"/>
          <w:szCs w:val="24"/>
          <w:lang w:eastAsia="es-ES"/>
        </w:rPr>
        <w:t>,</w:t>
      </w:r>
      <w:r w:rsidRPr="0029712E">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el Sujeto Obligado pretendió atender la petición del Recurrente mediante la entrega del Acta de Autorización inserta en el archivo denominado </w:t>
      </w:r>
      <w:r w:rsidRPr="003A393B">
        <w:rPr>
          <w:rFonts w:ascii="Palatino Linotype" w:eastAsia="Times New Roman" w:hAnsi="Palatino Linotype" w:cs="Times New Roman"/>
          <w:b/>
          <w:sz w:val="24"/>
          <w:szCs w:val="24"/>
          <w:lang w:eastAsia="es-ES"/>
        </w:rPr>
        <w:t>“ACTA No.156 SESION ORDINARIA.pdf”</w:t>
      </w:r>
      <w:r>
        <w:rPr>
          <w:rFonts w:ascii="Palatino Linotype" w:eastAsia="Times New Roman" w:hAnsi="Palatino Linotype" w:cs="Times New Roman"/>
          <w:sz w:val="24"/>
          <w:szCs w:val="24"/>
          <w:lang w:eastAsia="es-ES"/>
        </w:rPr>
        <w:t>, que consta de dos fojas del Acta número 156 Sesión Ordinaria del H. Ayuntamiento Constitucional de San Martín de las Pirámides.</w:t>
      </w:r>
    </w:p>
    <w:p w:rsidR="0029712E" w:rsidRDefault="0029712E" w:rsidP="0029712E">
      <w:pPr>
        <w:spacing w:after="0" w:line="360" w:lineRule="auto"/>
        <w:jc w:val="both"/>
        <w:rPr>
          <w:rFonts w:ascii="Palatino Linotype" w:eastAsia="Times New Roman" w:hAnsi="Palatino Linotype" w:cs="Times New Roman"/>
          <w:sz w:val="24"/>
          <w:szCs w:val="24"/>
          <w:lang w:eastAsia="es-ES"/>
        </w:rPr>
      </w:pPr>
    </w:p>
    <w:p w:rsidR="0029712E" w:rsidRPr="0029712E" w:rsidRDefault="0029712E" w:rsidP="0029712E">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29712E">
        <w:rPr>
          <w:rFonts w:ascii="Palatino Linotype" w:eastAsia="Times New Roman" w:hAnsi="Palatino Linotype" w:cs="Times New Roman"/>
          <w:sz w:val="24"/>
          <w:szCs w:val="24"/>
          <w:lang w:eastAsia="es-ES"/>
        </w:rPr>
        <w:t xml:space="preserve">El Recurrente consideró que la respuesta no colmaba sus pretensiones por lo que interpuso el recurso de revisión número </w:t>
      </w:r>
      <w:r w:rsidRPr="0029712E">
        <w:rPr>
          <w:rFonts w:ascii="Palatino Linotype" w:eastAsia="Times New Roman" w:hAnsi="Palatino Linotype" w:cs="Times New Roman"/>
          <w:b/>
          <w:sz w:val="24"/>
          <w:szCs w:val="24"/>
          <w:lang w:eastAsia="es-ES"/>
        </w:rPr>
        <w:t>04475/INFOEM/IP/RR/2018</w:t>
      </w:r>
      <w:r w:rsidRPr="0029712E">
        <w:rPr>
          <w:rFonts w:ascii="Palatino Linotype" w:eastAsia="Times New Roman" w:hAnsi="Palatino Linotype" w:cs="Times New Roman"/>
          <w:sz w:val="24"/>
          <w:szCs w:val="24"/>
          <w:lang w:eastAsia="es-ES"/>
        </w:rPr>
        <w:t xml:space="preserve"> </w:t>
      </w:r>
      <w:r w:rsidRPr="0029712E">
        <w:rPr>
          <w:rFonts w:ascii="Palatino Linotype" w:eastAsia="Times New Roman" w:hAnsi="Palatino Linotype" w:cs="Times New Roman"/>
          <w:sz w:val="24"/>
          <w:szCs w:val="24"/>
          <w:lang w:eastAsia="es-ES"/>
        </w:rPr>
        <w:lastRenderedPageBreak/>
        <w:t xml:space="preserve">impugnando el hecho de que no se entregó la información completa relacionada con los depósitos realizados en el año dos mil dieciocho, dando como razones o motivos de la inconformidad que la Secretaría de Finanzas entregó información distinta a la entregada por el Sujeto Obligado respecto a los depósitos realizados en el periodo del año mencionado. Por su parte, el Sujeto Obligado modificó su respuesta y adjunto el archivo </w:t>
      </w:r>
      <w:r w:rsidRPr="0029712E">
        <w:rPr>
          <w:rFonts w:ascii="Palatino Linotype" w:eastAsia="Times New Roman" w:hAnsi="Palatino Linotype" w:cs="Times New Roman"/>
          <w:b/>
          <w:sz w:val="24"/>
          <w:szCs w:val="24"/>
          <w:lang w:eastAsia="es-ES"/>
        </w:rPr>
        <w:t>“COMP DE INFORMACION.pdf”</w:t>
      </w:r>
      <w:r w:rsidRPr="0029712E">
        <w:rPr>
          <w:rFonts w:ascii="Palatino Linotype" w:eastAsia="Times New Roman" w:hAnsi="Palatino Linotype" w:cs="Times New Roman"/>
          <w:sz w:val="24"/>
          <w:szCs w:val="24"/>
          <w:lang w:eastAsia="es-ES"/>
        </w:rPr>
        <w:t xml:space="preserve"> al momento de rendir su Informe Justificado, en cuyo contenido se observa el comprobante bancario correspondiente al periodo del uno al treinta y uno de agosto de dos mil dieciocho.</w:t>
      </w:r>
    </w:p>
    <w:p w:rsidR="0029712E" w:rsidRPr="0029712E" w:rsidRDefault="0029712E" w:rsidP="0029712E">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29712E" w:rsidRPr="0029712E" w:rsidRDefault="0029712E" w:rsidP="0029712E">
      <w:pPr>
        <w:pStyle w:val="Prrafodelista"/>
        <w:numPr>
          <w:ilvl w:val="0"/>
          <w:numId w:val="1"/>
        </w:num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Mientras que, del </w:t>
      </w:r>
      <w:r w:rsidRPr="0029712E">
        <w:rPr>
          <w:rFonts w:ascii="Palatino Linotype" w:eastAsia="Times New Roman" w:hAnsi="Palatino Linotype" w:cs="Times New Roman"/>
          <w:sz w:val="24"/>
          <w:szCs w:val="24"/>
          <w:lang w:eastAsia="es-ES"/>
        </w:rPr>
        <w:t xml:space="preserve">recurso de revisión número </w:t>
      </w:r>
      <w:r w:rsidRPr="0029712E">
        <w:rPr>
          <w:rFonts w:ascii="Palatino Linotype" w:eastAsia="Times New Roman" w:hAnsi="Palatino Linotype" w:cs="Times New Roman"/>
          <w:b/>
          <w:sz w:val="24"/>
          <w:szCs w:val="24"/>
          <w:lang w:eastAsia="es-ES"/>
        </w:rPr>
        <w:t>04831/INFOEM/IP/RR/2018</w:t>
      </w:r>
      <w:r w:rsidRPr="0029712E">
        <w:rPr>
          <w:rFonts w:ascii="Palatino Linotype" w:eastAsia="Times New Roman" w:hAnsi="Palatino Linotype" w:cs="Times New Roman"/>
          <w:sz w:val="24"/>
          <w:szCs w:val="24"/>
          <w:lang w:eastAsia="es-ES"/>
        </w:rPr>
        <w:t xml:space="preserve"> señalando como acto impugnado que la información entregada por la autoridad no corresponde con lo solicitado, requiriendo que se explique detalladamente las erogaciones mediante la exhibición de contratos de obra, fianzas de cumplimiento del contratante. En este caso, el Sujeto Obligado no rindió su Informe Justificado.</w:t>
      </w:r>
    </w:p>
    <w:p w:rsidR="0029712E" w:rsidRDefault="0029712E" w:rsidP="0029712E">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29712E" w:rsidRPr="0029712E" w:rsidRDefault="0069498B" w:rsidP="0029712E">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29712E" w:rsidRPr="0029712E">
        <w:rPr>
          <w:rFonts w:ascii="Palatino Linotype" w:eastAsia="Calibri" w:hAnsi="Palatino Linotype" w:cs="Tahoma"/>
          <w:i/>
          <w:iCs/>
          <w:szCs w:val="24"/>
          <w:lang w:val="es-ES" w:eastAsia="es-ES_tradnl"/>
        </w:rPr>
        <w:t>Por tanto, se debe resaltar que el Recurrente no impugnó la entrega y contenido de los recibos correspondientes a los años dos mil dieciséis y dos mil diecisiete, sino que sólo señaló que la información relativa al año dos mil dieciocho era incompleta, por lo que se puede colegir que el particular estuvo conforme con los documentos entregados y que únicamente le causó perjuicio el hecho de que no se le proporcionara la información complementaria al año dos mil dieciocho.</w:t>
      </w:r>
    </w:p>
    <w:p w:rsidR="0029712E" w:rsidRPr="0029712E" w:rsidRDefault="0029712E" w:rsidP="0029712E">
      <w:pPr>
        <w:tabs>
          <w:tab w:val="left" w:pos="4962"/>
        </w:tabs>
        <w:spacing w:line="360" w:lineRule="auto"/>
        <w:ind w:left="567" w:right="616"/>
        <w:jc w:val="both"/>
        <w:rPr>
          <w:rFonts w:ascii="Palatino Linotype" w:eastAsia="Calibri" w:hAnsi="Palatino Linotype" w:cs="Tahoma"/>
          <w:i/>
          <w:iCs/>
          <w:szCs w:val="24"/>
          <w:lang w:val="es-ES" w:eastAsia="es-ES_tradnl"/>
        </w:rPr>
      </w:pPr>
      <w:r w:rsidRPr="0029712E">
        <w:rPr>
          <w:rFonts w:ascii="Palatino Linotype" w:eastAsia="Calibri" w:hAnsi="Palatino Linotype" w:cs="Tahoma"/>
          <w:i/>
          <w:iCs/>
          <w:szCs w:val="24"/>
          <w:lang w:val="es-ES" w:eastAsia="es-ES_tradnl"/>
        </w:rPr>
        <w:t>En consecuencia, se puede establecer que el Recurrente consintió parcialmente la respuesta del Sujeto Obligado.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29712E" w:rsidRPr="0029712E" w:rsidRDefault="0029712E" w:rsidP="0029712E">
      <w:pPr>
        <w:tabs>
          <w:tab w:val="left" w:pos="4962"/>
        </w:tabs>
        <w:spacing w:line="360" w:lineRule="auto"/>
        <w:ind w:left="567" w:right="616"/>
        <w:jc w:val="both"/>
        <w:rPr>
          <w:rFonts w:ascii="Palatino Linotype" w:eastAsia="Calibri" w:hAnsi="Palatino Linotype" w:cs="Tahoma"/>
          <w:i/>
          <w:iCs/>
          <w:szCs w:val="24"/>
          <w:lang w:val="es-ES" w:eastAsia="es-ES_tradnl"/>
        </w:rPr>
      </w:pPr>
      <w:r w:rsidRPr="0029712E">
        <w:rPr>
          <w:rFonts w:ascii="Palatino Linotype" w:eastAsia="Calibri" w:hAnsi="Palatino Linotype" w:cs="Tahoma"/>
          <w:i/>
          <w:iCs/>
          <w:szCs w:val="24"/>
          <w:lang w:val="es-ES" w:eastAsia="es-ES_tradnl"/>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9712E" w:rsidRPr="0029712E" w:rsidRDefault="0029712E" w:rsidP="0029712E">
      <w:pPr>
        <w:tabs>
          <w:tab w:val="left" w:pos="4962"/>
        </w:tabs>
        <w:spacing w:line="360" w:lineRule="auto"/>
        <w:ind w:left="567" w:right="616"/>
        <w:jc w:val="both"/>
        <w:rPr>
          <w:rFonts w:ascii="Palatino Linotype" w:eastAsia="Calibri" w:hAnsi="Palatino Linotype" w:cs="Tahoma"/>
          <w:i/>
          <w:iCs/>
          <w:szCs w:val="24"/>
          <w:lang w:val="es-ES" w:eastAsia="es-ES_tradnl"/>
        </w:rPr>
      </w:pPr>
    </w:p>
    <w:p w:rsidR="0029712E" w:rsidRPr="0029712E" w:rsidRDefault="0029712E" w:rsidP="0029712E">
      <w:pPr>
        <w:tabs>
          <w:tab w:val="left" w:pos="4962"/>
        </w:tabs>
        <w:spacing w:line="360" w:lineRule="auto"/>
        <w:ind w:left="567" w:right="616"/>
        <w:jc w:val="both"/>
        <w:rPr>
          <w:rFonts w:ascii="Palatino Linotype" w:eastAsia="Calibri" w:hAnsi="Palatino Linotype" w:cs="Tahoma"/>
          <w:i/>
          <w:iCs/>
          <w:szCs w:val="24"/>
          <w:lang w:val="es-ES" w:eastAsia="es-ES_tradnl"/>
        </w:rPr>
      </w:pPr>
      <w:r w:rsidRPr="0029712E">
        <w:rPr>
          <w:rFonts w:ascii="Palatino Linotype" w:eastAsia="Calibri" w:hAnsi="Palatino Linotype" w:cs="Tahoma"/>
          <w:i/>
          <w:iCs/>
          <w:szCs w:val="24"/>
          <w:lang w:val="es-ES" w:eastAsia="es-ES_tradnl"/>
        </w:rPr>
        <w:lastRenderedPageBreak/>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69498B" w:rsidRPr="0009123A" w:rsidRDefault="0029712E" w:rsidP="0029712E">
      <w:pPr>
        <w:tabs>
          <w:tab w:val="left" w:pos="4962"/>
        </w:tabs>
        <w:spacing w:line="360" w:lineRule="auto"/>
        <w:ind w:left="567" w:right="616"/>
        <w:jc w:val="both"/>
        <w:rPr>
          <w:rFonts w:ascii="Palatino Linotype" w:hAnsi="Palatino Linotype" w:cs="Arial"/>
          <w:i/>
          <w:szCs w:val="24"/>
        </w:rPr>
      </w:pPr>
      <w:r w:rsidRPr="0029712E">
        <w:rPr>
          <w:rFonts w:ascii="Palatino Linotype" w:eastAsia="Calibri" w:hAnsi="Palatino Linotype" w:cs="Tahoma"/>
          <w:i/>
          <w:iCs/>
          <w:szCs w:val="24"/>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09123A"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Pr="0009123A">
        <w:rPr>
          <w:rFonts w:ascii="Palatino Linotype" w:hAnsi="Palatino Linotype" w:cs="Arial"/>
          <w:b/>
          <w:i/>
          <w:szCs w:val="24"/>
        </w:rPr>
        <w:t xml:space="preserve">“actos consentidos”, </w:t>
      </w:r>
      <w:r w:rsidRPr="0009123A">
        <w:rPr>
          <w:rFonts w:ascii="Palatino Linotype" w:hAnsi="Palatino Linotype" w:cs="Arial"/>
          <w:szCs w:val="24"/>
        </w:rPr>
        <w:t>sin embargo, en este caso en particular, difiero con mayor fuerza toda vez que lo que el Comisionado Ponente y mis demás compañeros Comisionados que integran el Pleno de este Órgano Garante</w:t>
      </w:r>
      <w:r w:rsidR="00346358" w:rsidRPr="0009123A">
        <w:rPr>
          <w:rFonts w:ascii="Palatino Linotype" w:hAnsi="Palatino Linotype" w:cs="Arial"/>
          <w:szCs w:val="24"/>
        </w:rPr>
        <w:t>, consintieron</w:t>
      </w:r>
      <w:r w:rsidRPr="0009123A">
        <w:rPr>
          <w:rFonts w:ascii="Palatino Linotype" w:hAnsi="Palatino Linotype" w:cs="Arial"/>
          <w:szCs w:val="24"/>
        </w:rPr>
        <w:t xml:space="preserve"> el cambio de modalidad para la entrega de las versiones estenográficas de las sesiones de cabildo del Sujeto Obligado del periodo comprendido del año 2017 y 2018</w:t>
      </w:r>
      <w:r w:rsidR="00937AD9" w:rsidRPr="0009123A">
        <w:rPr>
          <w:rFonts w:ascii="Palatino Linotype" w:hAnsi="Palatino Linotype" w:cs="Arial"/>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3" w:name="_Toc2684131"/>
      <w:r w:rsidRPr="0009123A">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09123A" w:rsidRDefault="00FC5012" w:rsidP="00FC5012">
      <w:pPr>
        <w:rPr>
          <w:rFonts w:ascii="Palatino Linotype" w:hAnsi="Palatino Linotype"/>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En la resolución se precisa, un criterio </w:t>
      </w:r>
      <w:r w:rsidR="00260D6C" w:rsidRPr="0009123A">
        <w:rPr>
          <w:rFonts w:ascii="Palatino Linotype" w:hAnsi="Palatino Linotype" w:cs="Arial"/>
          <w:sz w:val="24"/>
          <w:szCs w:val="24"/>
        </w:rPr>
        <w:t>denominado</w:t>
      </w:r>
      <w:r w:rsidRPr="0009123A">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w:t>
      </w:r>
      <w:r w:rsidRPr="0009123A">
        <w:rPr>
          <w:rFonts w:ascii="Palatino Linotype" w:hAnsi="Palatino Linotype" w:cs="Arial"/>
          <w:sz w:val="24"/>
          <w:szCs w:val="24"/>
        </w:rPr>
        <w:lastRenderedPageBreak/>
        <w:t xml:space="preserve">a la persona que realiza una solicitud o presenta un recurso de revisión, de tal forma que se pretende que ejerza sus derechos sin verse en la necesidad de </w:t>
      </w:r>
      <w:r w:rsidRPr="0009123A">
        <w:rPr>
          <w:rFonts w:ascii="Palatino Linotype" w:hAnsi="Palatino Linotype" w:cs="Arial"/>
          <w:b/>
          <w:sz w:val="24"/>
          <w:szCs w:val="24"/>
        </w:rPr>
        <w:t>acudir a un profesionista del derecho</w:t>
      </w:r>
      <w:r w:rsidRPr="0009123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9123A">
        <w:rPr>
          <w:rStyle w:val="Refdenotaalpie"/>
          <w:rFonts w:ascii="Palatino Linotype" w:hAnsi="Palatino Linotype" w:cs="Arial"/>
          <w:sz w:val="24"/>
          <w:szCs w:val="24"/>
        </w:rPr>
        <w:footnoteReference w:id="1"/>
      </w:r>
      <w:r w:rsidRPr="0009123A">
        <w:rPr>
          <w:rFonts w:ascii="Palatino Linotype" w:hAnsi="Palatino Linotype" w:cs="Arial"/>
          <w:sz w:val="24"/>
          <w:szCs w:val="24"/>
        </w:rPr>
        <w:t xml:space="preserve"> Según este mismo autor, “…es siempre obligatoria… respecto de los errores o defectos de los conceptos de violación expresados en la </w:t>
      </w:r>
      <w:r w:rsidRPr="0009123A">
        <w:rPr>
          <w:rFonts w:ascii="Palatino Linotype" w:hAnsi="Palatino Linotype" w:cs="Arial"/>
          <w:sz w:val="24"/>
          <w:szCs w:val="24"/>
        </w:rPr>
        <w:lastRenderedPageBreak/>
        <w:t>demanda, así como los de los agravios formulados en los recursos que el mismo ordenamiento establece”.</w:t>
      </w:r>
      <w:r w:rsidRPr="0009123A">
        <w:rPr>
          <w:rStyle w:val="Refdenotaalpie"/>
          <w:rFonts w:ascii="Palatino Linotype" w:hAnsi="Palatino Linotype" w:cs="Arial"/>
          <w:sz w:val="24"/>
          <w:szCs w:val="24"/>
        </w:rPr>
        <w:footnoteReference w:id="2"/>
      </w:r>
      <w:r w:rsidRPr="0009123A">
        <w:rPr>
          <w:rFonts w:ascii="Palatino Linotype" w:hAnsi="Palatino Linotype" w:cs="Arial"/>
          <w:sz w:val="24"/>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En este sentido el Dr. Miguel Carbonell ha señalado que:</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lastRenderedPageBreak/>
        <w:t xml:space="preserve">“Queda claro, en consecuencia, que las obligaciones de promoción, respeto, protección y garantía de los derechos corren a cargo de todos los poderes, incluso </w:t>
      </w:r>
      <w:r w:rsidRPr="0009123A">
        <w:rPr>
          <w:rFonts w:ascii="Palatino Linotype" w:hAnsi="Palatino Linotype" w:cs="Arial"/>
          <w:b/>
          <w:sz w:val="24"/>
          <w:szCs w:val="24"/>
        </w:rPr>
        <w:t>considerando que algún nivel de gobierno tenga obligaciones reforzadas hacia ciertos derechos.</w:t>
      </w:r>
      <w:r w:rsidRPr="0009123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9123A">
        <w:rPr>
          <w:rFonts w:ascii="Palatino Linotype" w:hAnsi="Palatino Linotype" w:cs="Arial"/>
          <w:b/>
          <w:sz w:val="24"/>
          <w:szCs w:val="24"/>
        </w:rPr>
        <w:t>tomar todas las medidas que sean pertinentes para tutelar y hacer eficaz un derecho</w:t>
      </w:r>
      <w:r w:rsidRPr="0009123A">
        <w:rPr>
          <w:rFonts w:ascii="Palatino Linotype" w:hAnsi="Palatino Linotype" w:cs="Arial"/>
          <w:sz w:val="24"/>
          <w:szCs w:val="24"/>
        </w:rPr>
        <w:t>”.</w:t>
      </w:r>
      <w:r w:rsidRPr="0009123A">
        <w:rPr>
          <w:rStyle w:val="Refdenotaalpie"/>
          <w:rFonts w:ascii="Palatino Linotype" w:hAnsi="Palatino Linotype" w:cs="Arial"/>
          <w:sz w:val="24"/>
          <w:szCs w:val="24"/>
        </w:rPr>
        <w:footnoteReference w:id="3"/>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Por lo que restringir el derecho de acceso a la información pública del particular</w:t>
      </w:r>
      <w:r w:rsidRPr="0009123A">
        <w:rPr>
          <w:rFonts w:ascii="Palatino Linotype" w:hAnsi="Palatino Linotype" w:cs="Arial"/>
          <w:b/>
          <w:sz w:val="24"/>
          <w:szCs w:val="24"/>
        </w:rPr>
        <w:t xml:space="preserve"> </w:t>
      </w:r>
      <w:r w:rsidRPr="0009123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9123A" w:rsidRDefault="0046491C" w:rsidP="00E34F08">
      <w:pPr>
        <w:pStyle w:val="Prrafodelista"/>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w:t>
      </w:r>
      <w:r w:rsidRPr="0009123A">
        <w:rPr>
          <w:rFonts w:ascii="Palatino Linotype" w:hAnsi="Palatino Linotype" w:cs="Arial"/>
          <w:sz w:val="24"/>
          <w:szCs w:val="24"/>
        </w:rPr>
        <w:lastRenderedPageBreak/>
        <w:t>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w:t>
      </w:r>
      <w:r w:rsidRPr="0009123A">
        <w:rPr>
          <w:rFonts w:ascii="Palatino Linotype" w:hAnsi="Palatino Linotype" w:cs="Arial"/>
          <w:sz w:val="24"/>
          <w:szCs w:val="24"/>
        </w:rPr>
        <w:lastRenderedPageBreak/>
        <w:t xml:space="preserve">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9123A">
        <w:rPr>
          <w:rFonts w:ascii="Palatino Linotype" w:hAnsi="Palatino Linotype" w:cs="Arial"/>
          <w:b/>
          <w:sz w:val="24"/>
          <w:szCs w:val="24"/>
        </w:rPr>
        <w:t>el deber que tienen los órganos del Estado, dentro del margen de sus atribuciones, de prevenir violaciones a los derechos fundamentales,</w:t>
      </w:r>
      <w:r w:rsidRPr="0009123A">
        <w:rPr>
          <w:rFonts w:ascii="Palatino Linotype" w:hAnsi="Palatino Linotype" w:cs="Arial"/>
          <w:sz w:val="24"/>
          <w:szCs w:val="24"/>
        </w:rPr>
        <w:t xml:space="preserve"> ya sea que provengan de una autoridad o de algún particular y, por ello, </w:t>
      </w:r>
      <w:r w:rsidRPr="0009123A">
        <w:rPr>
          <w:rFonts w:ascii="Palatino Linotype" w:hAnsi="Palatino Linotype" w:cs="Arial"/>
          <w:b/>
          <w:sz w:val="24"/>
          <w:szCs w:val="24"/>
        </w:rPr>
        <w:t>debe contarse</w:t>
      </w:r>
      <w:r w:rsidRPr="0009123A">
        <w:rPr>
          <w:rFonts w:ascii="Palatino Linotype" w:hAnsi="Palatino Linotype" w:cs="Arial"/>
          <w:sz w:val="24"/>
          <w:szCs w:val="24"/>
        </w:rPr>
        <w:t xml:space="preserve"> tanto </w:t>
      </w:r>
      <w:r w:rsidRPr="0009123A">
        <w:rPr>
          <w:rFonts w:ascii="Palatino Linotype" w:hAnsi="Palatino Linotype" w:cs="Arial"/>
          <w:b/>
          <w:sz w:val="24"/>
          <w:szCs w:val="24"/>
        </w:rPr>
        <w:t>con mecanismos</w:t>
      </w:r>
      <w:r w:rsidRPr="0009123A">
        <w:rPr>
          <w:rFonts w:ascii="Palatino Linotype" w:hAnsi="Palatino Linotype" w:cs="Arial"/>
          <w:sz w:val="24"/>
          <w:szCs w:val="24"/>
        </w:rPr>
        <w:t xml:space="preserve"> de vigilancia como </w:t>
      </w:r>
      <w:r w:rsidRPr="0009123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9123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w:t>
      </w:r>
      <w:r w:rsidRPr="0009123A">
        <w:rPr>
          <w:rFonts w:ascii="Palatino Linotype" w:hAnsi="Palatino Linotype" w:cs="Arial"/>
          <w:sz w:val="24"/>
          <w:szCs w:val="24"/>
        </w:rPr>
        <w:lastRenderedPageBreak/>
        <w:t>saber todo lo que hacen. [TA] Tesis: XXVII.3o.3 CS (10a.) Tribunales Colegiados de Circuito. Décima Época, Gaceta del Semanario Judicial de la Federación, Libro 11, Octubre de 2014, Tomo III, Página: 2840.</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Cs w:val="24"/>
        </w:rPr>
      </w:pPr>
      <w:r w:rsidRPr="0009123A">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09123A">
        <w:rPr>
          <w:rFonts w:ascii="Palatino Linotype" w:hAnsi="Palatino Linotype" w:cs="Arial"/>
          <w:b/>
          <w:szCs w:val="24"/>
        </w:rPr>
        <w:t>SUJETOS OBLIGADOS</w:t>
      </w:r>
      <w:r w:rsidRPr="0009123A">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09123A"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r w:rsidRPr="0009123A">
        <w:rPr>
          <w:rFonts w:ascii="Palatino Linotype" w:hAnsi="Palatino Linotype" w:cs="Arial"/>
          <w:sz w:val="28"/>
          <w:szCs w:val="24"/>
        </w:rPr>
        <w:t>.</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w:t>
      </w:r>
      <w:r w:rsidRPr="0009123A">
        <w:rPr>
          <w:rFonts w:ascii="Palatino Linotype" w:hAnsi="Palatino Linotype" w:cs="Arial"/>
          <w:sz w:val="24"/>
          <w:szCs w:val="24"/>
        </w:rPr>
        <w:lastRenderedPageBreak/>
        <w:t>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29712E" w:rsidRDefault="0046491C" w:rsidP="0029712E">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Ttulo1"/>
        <w:numPr>
          <w:ilvl w:val="0"/>
          <w:numId w:val="12"/>
        </w:numPr>
        <w:ind w:left="709"/>
        <w:rPr>
          <w:rFonts w:ascii="Palatino Linotype" w:hAnsi="Palatino Linotype"/>
          <w:b/>
          <w:color w:val="000000" w:themeColor="text1"/>
          <w:sz w:val="24"/>
        </w:rPr>
      </w:pPr>
      <w:bookmarkStart w:id="4" w:name="_Toc273073"/>
      <w:bookmarkStart w:id="5" w:name="_Toc2684132"/>
      <w:r w:rsidRPr="0083373E">
        <w:rPr>
          <w:rFonts w:ascii="Palatino Linotype" w:hAnsi="Palatino Linotype"/>
          <w:b/>
          <w:color w:val="000000" w:themeColor="text1"/>
          <w:sz w:val="24"/>
        </w:rPr>
        <w:t>Del Pronunciamiento Simple</w:t>
      </w:r>
      <w:bookmarkEnd w:id="4"/>
      <w:bookmarkEnd w:id="5"/>
    </w:p>
    <w:p w:rsidR="0083373E" w:rsidRPr="00530CB3" w:rsidRDefault="0083373E" w:rsidP="0083373E"/>
    <w:p w:rsidR="0083373E" w:rsidRPr="00B22B30" w:rsidRDefault="0083373E" w:rsidP="0083373E">
      <w:pPr>
        <w:pStyle w:val="Prrafodelista"/>
        <w:numPr>
          <w:ilvl w:val="0"/>
          <w:numId w:val="1"/>
        </w:numPr>
        <w:spacing w:before="240" w:after="240" w:line="360" w:lineRule="auto"/>
        <w:ind w:left="426" w:right="49"/>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El segundo aspecto el cual formulo el presente voto particular, es en razón de que el </w:t>
      </w:r>
      <w:r w:rsidRPr="00B22B30">
        <w:rPr>
          <w:rFonts w:ascii="Palatino Linotype" w:eastAsia="Times New Roman" w:hAnsi="Palatino Linotype" w:cs="Arial"/>
          <w:sz w:val="24"/>
        </w:rPr>
        <w:t xml:space="preserve">ponente se manifestó al respecto enfatizando que en el caso de que el </w:t>
      </w:r>
      <w:r w:rsidRPr="00B22B30">
        <w:rPr>
          <w:rFonts w:ascii="Palatino Linotype" w:eastAsia="Times New Roman" w:hAnsi="Palatino Linotype" w:cs="Arial"/>
          <w:b/>
          <w:sz w:val="24"/>
        </w:rPr>
        <w:t xml:space="preserve">SUJETO OBLIGADO </w:t>
      </w:r>
      <w:r w:rsidRPr="00B22B30">
        <w:rPr>
          <w:rFonts w:ascii="Palatino Linotype" w:eastAsia="Times New Roman" w:hAnsi="Palatino Linotype" w:cs="Arial"/>
          <w:sz w:val="24"/>
        </w:rPr>
        <w:t>no cuente con la información, bastará con que se pronuncie al respecto y lo haga del conocimiento del particular.</w:t>
      </w:r>
    </w:p>
    <w:p w:rsidR="0083373E" w:rsidRDefault="0083373E" w:rsidP="0083373E">
      <w:pPr>
        <w:numPr>
          <w:ilvl w:val="0"/>
          <w:numId w:val="1"/>
        </w:numPr>
        <w:spacing w:after="0" w:line="360" w:lineRule="auto"/>
        <w:ind w:left="426" w:right="49"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que no genera, posee o administre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83373E" w:rsidRPr="00427B79" w:rsidRDefault="0083373E" w:rsidP="0083373E">
      <w:pPr>
        <w:spacing w:after="0" w:line="360" w:lineRule="auto"/>
        <w:ind w:left="426" w:right="49"/>
        <w:contextualSpacing/>
        <w:jc w:val="both"/>
        <w:rPr>
          <w:rFonts w:ascii="Palatino Linotype" w:eastAsia="Calibri" w:hAnsi="Palatino Linotype" w:cs="Arial"/>
          <w:sz w:val="24"/>
          <w:szCs w:val="24"/>
        </w:rPr>
      </w:pPr>
    </w:p>
    <w:p w:rsidR="0083373E" w:rsidRPr="0083373E" w:rsidRDefault="0083373E" w:rsidP="0083373E">
      <w:pPr>
        <w:pStyle w:val="Ttulo1"/>
        <w:numPr>
          <w:ilvl w:val="0"/>
          <w:numId w:val="34"/>
        </w:numPr>
        <w:ind w:left="851"/>
        <w:rPr>
          <w:rFonts w:ascii="Palatino Linotype" w:hAnsi="Palatino Linotype"/>
          <w:b/>
          <w:color w:val="000000" w:themeColor="text1"/>
          <w:sz w:val="24"/>
        </w:rPr>
      </w:pPr>
      <w:r w:rsidRPr="0083373E">
        <w:rPr>
          <w:rFonts w:ascii="Palatino Linotype" w:hAnsi="Palatino Linotype"/>
          <w:b/>
          <w:color w:val="000000" w:themeColor="text1"/>
          <w:sz w:val="24"/>
        </w:rPr>
        <w:t xml:space="preserve">  </w:t>
      </w:r>
      <w:bookmarkStart w:id="6" w:name="_Toc273074"/>
      <w:bookmarkStart w:id="7" w:name="_Toc2684133"/>
      <w:r w:rsidRPr="0083373E">
        <w:rPr>
          <w:rFonts w:ascii="Palatino Linotype" w:hAnsi="Palatino Linotype"/>
          <w:b/>
          <w:color w:val="000000" w:themeColor="text1"/>
          <w:sz w:val="24"/>
        </w:rPr>
        <w:t>Del Derecho de Acceso a la información pública y el deber de motivar.</w:t>
      </w:r>
      <w:bookmarkEnd w:id="6"/>
      <w:bookmarkEnd w:id="7"/>
    </w:p>
    <w:p w:rsidR="0083373E" w:rsidRDefault="0083373E" w:rsidP="0083373E">
      <w:pPr>
        <w:pStyle w:val="Prrafodelista"/>
        <w:spacing w:line="360" w:lineRule="auto"/>
        <w:ind w:left="426"/>
        <w:jc w:val="both"/>
        <w:rPr>
          <w:rFonts w:ascii="Palatino Linotype" w:hAnsi="Palatino Linotype" w:cs="Arial"/>
          <w:sz w:val="24"/>
          <w:szCs w:val="24"/>
        </w:rPr>
      </w:pPr>
    </w:p>
    <w:p w:rsidR="0083373E" w:rsidRPr="00427B79" w:rsidRDefault="0083373E" w:rsidP="0083373E">
      <w:pPr>
        <w:pStyle w:val="Prrafodelista"/>
        <w:numPr>
          <w:ilvl w:val="0"/>
          <w:numId w:val="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83373E" w:rsidRPr="00427B79" w:rsidRDefault="0083373E" w:rsidP="0083373E">
      <w:pPr>
        <w:pStyle w:val="Prrafodelista"/>
        <w:spacing w:after="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83373E" w:rsidRPr="00427B79" w:rsidRDefault="0083373E" w:rsidP="0083373E">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highlight w:val="lightGray"/>
        </w:rPr>
      </w:pPr>
    </w:p>
    <w:p w:rsidR="0083373E" w:rsidRPr="00D35B4C"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83373E" w:rsidRPr="00D35B4C"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D35B4C"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83373E" w:rsidRPr="006A0497"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rPr>
      </w:pP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w:t>
      </w:r>
      <w:r w:rsidRPr="006A0497">
        <w:rPr>
          <w:rFonts w:ascii="Palatino Linotype" w:hAnsi="Palatino Linotype" w:cs="Arial"/>
          <w:sz w:val="24"/>
          <w:szCs w:val="24"/>
        </w:rPr>
        <w:lastRenderedPageBreak/>
        <w:t xml:space="preserve">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83373E" w:rsidRPr="00D35B4C" w:rsidRDefault="0083373E" w:rsidP="0083373E">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sz w:val="24"/>
          <w:szCs w:val="24"/>
          <w:highlight w:val="lightGray"/>
        </w:rPr>
      </w:pPr>
    </w:p>
    <w:p w:rsidR="0083373E" w:rsidRPr="00B22B30"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83373E" w:rsidRPr="00D35B4C" w:rsidRDefault="0083373E" w:rsidP="0083373E">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83373E" w:rsidRPr="0083373E" w:rsidRDefault="0083373E" w:rsidP="0083373E">
      <w:pPr>
        <w:pStyle w:val="Ttulo1"/>
        <w:numPr>
          <w:ilvl w:val="0"/>
          <w:numId w:val="34"/>
        </w:numPr>
        <w:ind w:left="851"/>
        <w:rPr>
          <w:rFonts w:ascii="Palatino Linotype" w:eastAsia="Calibri" w:hAnsi="Palatino Linotype"/>
          <w:b/>
          <w:color w:val="000000" w:themeColor="text1"/>
          <w:sz w:val="24"/>
          <w:szCs w:val="24"/>
        </w:rPr>
      </w:pPr>
      <w:bookmarkStart w:id="8" w:name="_Toc273075"/>
      <w:bookmarkStart w:id="9" w:name="_Toc2684134"/>
      <w:r w:rsidRPr="0083373E">
        <w:rPr>
          <w:rFonts w:ascii="Palatino Linotype" w:eastAsia="Calibri" w:hAnsi="Palatino Linotype"/>
          <w:b/>
          <w:color w:val="000000" w:themeColor="text1"/>
          <w:sz w:val="24"/>
          <w:szCs w:val="24"/>
        </w:rPr>
        <w:t>De la fundamentación y motivación.</w:t>
      </w:r>
      <w:bookmarkEnd w:id="8"/>
      <w:bookmarkEnd w:id="9"/>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w:t>
      </w:r>
      <w:r w:rsidRPr="00427B79">
        <w:rPr>
          <w:rFonts w:ascii="Palatino Linotype" w:eastAsia="Calibri" w:hAnsi="Palatino Linotype" w:cs="Arial"/>
          <w:sz w:val="24"/>
          <w:szCs w:val="24"/>
        </w:rPr>
        <w:lastRenderedPageBreak/>
        <w:t xml:space="preserve">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83373E" w:rsidRPr="00427B79" w:rsidRDefault="0083373E" w:rsidP="0083373E">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83373E" w:rsidRPr="00427B79" w:rsidRDefault="0083373E" w:rsidP="0083373E">
      <w:pPr>
        <w:spacing w:after="0" w:line="360" w:lineRule="auto"/>
        <w:ind w:left="426" w:hanging="426"/>
        <w:contextualSpacing/>
        <w:jc w:val="both"/>
        <w:rPr>
          <w:rFonts w:ascii="Palatino Linotype" w:eastAsiaTheme="minorEastAsia" w:hAnsi="Palatino Linotype" w:cs="Arial"/>
          <w:sz w:val="24"/>
          <w:szCs w:val="24"/>
          <w:lang w:val="es-ES" w:eastAsia="es-ES"/>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83373E" w:rsidRDefault="0083373E" w:rsidP="0083373E">
      <w:pPr>
        <w:pStyle w:val="Prrafodelista"/>
        <w:ind w:left="426"/>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83373E" w:rsidRDefault="0083373E" w:rsidP="0083373E">
      <w:pPr>
        <w:pStyle w:val="Prrafodelista"/>
        <w:ind w:left="426" w:hanging="426"/>
        <w:rPr>
          <w:rFonts w:ascii="Palatino Linotype" w:eastAsia="Calibri" w:hAnsi="Palatino Linotype" w:cs="Arial"/>
          <w:sz w:val="24"/>
          <w:szCs w:val="24"/>
          <w:lang w:val="es-ES_tradnl"/>
        </w:rPr>
      </w:pPr>
    </w:p>
    <w:p w:rsidR="0083373E" w:rsidRPr="00A22908"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
        </w:rPr>
      </w:pPr>
    </w:p>
    <w:p w:rsidR="0083373E" w:rsidRPr="00A22908" w:rsidRDefault="0083373E" w:rsidP="0083373E">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83373E" w:rsidRPr="00DB2E2D"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lastRenderedPageBreak/>
        <w:t>En este contexto, en todo acto que la autoridad pronuncie en el ejercicio de sus atribuciones, debe expresar los fundamentos legales que le dieron origen y las razones por las que se deben aplicar al caso concreto.</w:t>
      </w:r>
    </w:p>
    <w:p w:rsidR="0083373E" w:rsidRPr="00DB2E2D"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83373E" w:rsidRPr="00DB2E2D" w:rsidRDefault="0083373E" w:rsidP="0083373E">
      <w:pPr>
        <w:pStyle w:val="Prrafodelista"/>
        <w:ind w:left="426" w:hanging="426"/>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3373E" w:rsidRPr="00DB2E2D" w:rsidRDefault="0083373E" w:rsidP="0083373E">
      <w:pPr>
        <w:spacing w:after="0" w:line="360" w:lineRule="auto"/>
        <w:ind w:left="426" w:right="616" w:hanging="426"/>
        <w:contextualSpacing/>
        <w:jc w:val="both"/>
        <w:rPr>
          <w:rFonts w:ascii="Palatino Linotype" w:eastAsia="Calibri" w:hAnsi="Palatino Linotype" w:cs="Arial"/>
          <w:i/>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 xml:space="preserve">Así, en un acto de autoridad se surte la debida fundamentación cuando se cita el precepto legal aplicable al caso concreto y la debida motivación cuando se </w:t>
      </w:r>
      <w:r w:rsidRPr="00DB2E2D">
        <w:rPr>
          <w:rFonts w:ascii="Palatino Linotype" w:eastAsia="Calibri" w:hAnsi="Palatino Linotype" w:cs="Arial"/>
          <w:sz w:val="24"/>
          <w:szCs w:val="24"/>
          <w:lang w:val="es-ES_tradnl"/>
        </w:rPr>
        <w:lastRenderedPageBreak/>
        <w:t>expresan las razones, motivos o circunstancias que tomó en cuenta la autoridad para adecuar el hecho a los fundamentos de derecho.</w:t>
      </w:r>
    </w:p>
    <w:p w:rsidR="0083373E" w:rsidRPr="00DB2E2D"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3373E" w:rsidRPr="00A22908"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83373E" w:rsidRPr="00427B79" w:rsidRDefault="0083373E" w:rsidP="0083373E">
      <w:pPr>
        <w:spacing w:after="0" w:line="360" w:lineRule="auto"/>
        <w:ind w:left="426" w:hanging="426"/>
        <w:contextualSpacing/>
        <w:jc w:val="both"/>
        <w:rPr>
          <w:b/>
          <w:bCs/>
          <w:sz w:val="24"/>
          <w:szCs w:val="24"/>
        </w:rPr>
      </w:pPr>
    </w:p>
    <w:p w:rsidR="0083373E" w:rsidRPr="00DB2E2D" w:rsidRDefault="0083373E" w:rsidP="0083373E">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83488C"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83373E" w:rsidRPr="0083488C" w:rsidRDefault="0083373E" w:rsidP="0083373E">
      <w:pPr>
        <w:spacing w:after="0" w:line="360" w:lineRule="auto"/>
        <w:ind w:left="426" w:hanging="426"/>
        <w:jc w:val="both"/>
        <w:rPr>
          <w:rFonts w:ascii="Palatino Linotype" w:eastAsia="Calibri" w:hAnsi="Palatino Linotype" w:cs="Arial"/>
          <w:sz w:val="24"/>
          <w:szCs w:val="24"/>
        </w:rPr>
      </w:pPr>
    </w:p>
    <w:p w:rsidR="0083373E"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lastRenderedPageBreak/>
        <w:t>FUNDAMENTACION Y MOTIVACION DE LOS ACTOS ADMINISTRATIVOS</w:t>
      </w:r>
      <w:r w:rsidRPr="0083488C">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83373E" w:rsidRPr="0083488C"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w:t>
      </w:r>
      <w:r w:rsidRPr="00C60111">
        <w:rPr>
          <w:rFonts w:ascii="Palatino Linotype" w:eastAsia="Calibri" w:hAnsi="Palatino Linotype" w:cs="Arial"/>
          <w:sz w:val="24"/>
          <w:szCs w:val="24"/>
        </w:rPr>
        <w:lastRenderedPageBreak/>
        <w:t>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83373E" w:rsidRPr="00C60111" w:rsidRDefault="0083373E" w:rsidP="0083373E">
      <w:pPr>
        <w:spacing w:after="0" w:line="360" w:lineRule="auto"/>
        <w:ind w:left="426" w:hanging="426"/>
        <w:contextualSpacing/>
        <w:jc w:val="both"/>
        <w:rPr>
          <w:rFonts w:ascii="Palatino Linotype" w:hAnsi="Palatino Linotype"/>
          <w:sz w:val="24"/>
          <w:szCs w:val="24"/>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T</w:t>
      </w:r>
      <w:r w:rsidRPr="00C60111">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83373E" w:rsidRDefault="0083373E" w:rsidP="0083373E">
      <w:pPr>
        <w:pStyle w:val="Prrafodelista"/>
        <w:spacing w:after="0" w:line="360" w:lineRule="auto"/>
        <w:ind w:left="426"/>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C60111" w:rsidRDefault="00C60111" w:rsidP="00043805">
      <w:pPr>
        <w:spacing w:after="0" w:line="360" w:lineRule="auto"/>
        <w:jc w:val="both"/>
        <w:rPr>
          <w:rFonts w:ascii="Palatino Linotype" w:hAnsi="Palatino Linotype" w:cs="Arial"/>
          <w:sz w:val="24"/>
          <w:szCs w:val="24"/>
        </w:rPr>
      </w:pPr>
    </w:p>
    <w:p w:rsidR="000E57DB" w:rsidRDefault="000E57DB" w:rsidP="00043805">
      <w:pPr>
        <w:spacing w:after="0" w:line="360" w:lineRule="auto"/>
        <w:jc w:val="both"/>
        <w:rPr>
          <w:rFonts w:ascii="Palatino Linotype" w:hAnsi="Palatino Linotype" w:cs="Arial"/>
          <w:sz w:val="24"/>
          <w:szCs w:val="24"/>
        </w:rPr>
      </w:pPr>
    </w:p>
    <w:p w:rsidR="0009123A" w:rsidRPr="0009123A" w:rsidRDefault="0009123A" w:rsidP="00043805">
      <w:pPr>
        <w:spacing w:after="0" w:line="360" w:lineRule="auto"/>
        <w:jc w:val="both"/>
        <w:rPr>
          <w:rFonts w:ascii="Palatino Linotype" w:hAnsi="Palatino Linotype" w:cs="Arial"/>
          <w:sz w:val="24"/>
          <w:szCs w:val="24"/>
        </w:rPr>
      </w:pPr>
    </w:p>
    <w:p w:rsidR="0009123A" w:rsidRPr="0009123A" w:rsidRDefault="0009123A"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Pr="0009123A" w:rsidRDefault="0046491C" w:rsidP="00E34F08">
      <w:pPr>
        <w:spacing w:line="360" w:lineRule="auto"/>
        <w:jc w:val="center"/>
        <w:rPr>
          <w:rFonts w:ascii="Palatino Linotype" w:hAnsi="Palatino Linotype"/>
          <w:sz w:val="24"/>
          <w:szCs w:val="24"/>
        </w:rPr>
      </w:pPr>
      <w:r w:rsidRPr="0009123A">
        <w:rPr>
          <w:rFonts w:ascii="Palatino Linotype" w:hAnsi="Palatino Linotype"/>
          <w:b/>
          <w:sz w:val="24"/>
          <w:szCs w:val="24"/>
        </w:rPr>
        <w:t>COMISIONADO</w:t>
      </w:r>
    </w:p>
    <w:p w:rsidR="00C60111" w:rsidRDefault="00C60111" w:rsidP="00575478">
      <w:pPr>
        <w:spacing w:line="360" w:lineRule="auto"/>
        <w:rPr>
          <w:rFonts w:ascii="Palatino Linotype" w:hAnsi="Palatino Linotype"/>
          <w:b/>
          <w:sz w:val="24"/>
          <w:szCs w:val="24"/>
        </w:rPr>
      </w:pP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5CA" w:rsidRDefault="008C25CA" w:rsidP="00E706DA">
      <w:pPr>
        <w:spacing w:after="0" w:line="240" w:lineRule="auto"/>
      </w:pPr>
      <w:r>
        <w:separator/>
      </w:r>
    </w:p>
  </w:endnote>
  <w:endnote w:type="continuationSeparator" w:id="0">
    <w:p w:rsidR="008C25CA" w:rsidRDefault="008C25C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C25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A1A2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A1A21">
              <w:rPr>
                <w:rFonts w:ascii="Palatino Linotype" w:hAnsi="Palatino Linotype"/>
                <w:b/>
                <w:bCs/>
                <w:noProof/>
                <w:sz w:val="20"/>
                <w:szCs w:val="20"/>
              </w:rPr>
              <w:t>32</w:t>
            </w:r>
            <w:r w:rsidRPr="0052203D">
              <w:rPr>
                <w:rFonts w:ascii="Palatino Linotype" w:hAnsi="Palatino Linotype"/>
                <w:b/>
                <w:bCs/>
                <w:sz w:val="20"/>
                <w:szCs w:val="20"/>
              </w:rPr>
              <w:fldChar w:fldCharType="end"/>
            </w:r>
          </w:p>
        </w:sdtContent>
      </w:sdt>
    </w:sdtContent>
  </w:sdt>
  <w:p w:rsidR="00951E8B" w:rsidRDefault="008C25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C25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5CA" w:rsidRDefault="008C25CA" w:rsidP="00E706DA">
      <w:pPr>
        <w:spacing w:after="0" w:line="240" w:lineRule="auto"/>
      </w:pPr>
      <w:r>
        <w:separator/>
      </w:r>
    </w:p>
  </w:footnote>
  <w:footnote w:type="continuationSeparator" w:id="0">
    <w:p w:rsidR="008C25CA" w:rsidRDefault="008C25CA"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25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25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C25C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25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9B4"/>
    <w:multiLevelType w:val="hybridMultilevel"/>
    <w:tmpl w:val="DEA05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02EC6"/>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63C95FCF"/>
    <w:multiLevelType w:val="hybridMultilevel"/>
    <w:tmpl w:val="C75CAEA4"/>
    <w:lvl w:ilvl="0" w:tplc="0EFA095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CD5082"/>
    <w:multiLevelType w:val="hybridMultilevel"/>
    <w:tmpl w:val="F1D29DBA"/>
    <w:lvl w:ilvl="0" w:tplc="9418DF10">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14"/>
  </w:num>
  <w:num w:numId="5">
    <w:abstractNumId w:val="18"/>
  </w:num>
  <w:num w:numId="6">
    <w:abstractNumId w:val="20"/>
  </w:num>
  <w:num w:numId="7">
    <w:abstractNumId w:val="25"/>
  </w:num>
  <w:num w:numId="8">
    <w:abstractNumId w:val="23"/>
  </w:num>
  <w:num w:numId="9">
    <w:abstractNumId w:val="28"/>
  </w:num>
  <w:num w:numId="10">
    <w:abstractNumId w:val="5"/>
  </w:num>
  <w:num w:numId="11">
    <w:abstractNumId w:val="27"/>
  </w:num>
  <w:num w:numId="12">
    <w:abstractNumId w:val="13"/>
  </w:num>
  <w:num w:numId="13">
    <w:abstractNumId w:val="6"/>
  </w:num>
  <w:num w:numId="14">
    <w:abstractNumId w:val="9"/>
  </w:num>
  <w:num w:numId="15">
    <w:abstractNumId w:val="21"/>
  </w:num>
  <w:num w:numId="16">
    <w:abstractNumId w:val="2"/>
  </w:num>
  <w:num w:numId="17">
    <w:abstractNumId w:val="1"/>
  </w:num>
  <w:num w:numId="18">
    <w:abstractNumId w:val="15"/>
  </w:num>
  <w:num w:numId="19">
    <w:abstractNumId w:val="7"/>
  </w:num>
  <w:num w:numId="20">
    <w:abstractNumId w:val="24"/>
  </w:num>
  <w:num w:numId="21">
    <w:abstractNumId w:val="26"/>
  </w:num>
  <w:num w:numId="22">
    <w:abstractNumId w:val="8"/>
  </w:num>
  <w:num w:numId="23">
    <w:abstractNumId w:val="16"/>
  </w:num>
  <w:num w:numId="24">
    <w:abstractNumId w:val="32"/>
  </w:num>
  <w:num w:numId="25">
    <w:abstractNumId w:val="29"/>
  </w:num>
  <w:num w:numId="26">
    <w:abstractNumId w:val="12"/>
  </w:num>
  <w:num w:numId="27">
    <w:abstractNumId w:val="22"/>
  </w:num>
  <w:num w:numId="28">
    <w:abstractNumId w:val="11"/>
  </w:num>
  <w:num w:numId="29">
    <w:abstractNumId w:val="0"/>
  </w:num>
  <w:num w:numId="30">
    <w:abstractNumId w:val="4"/>
  </w:num>
  <w:num w:numId="31">
    <w:abstractNumId w:val="30"/>
  </w:num>
  <w:num w:numId="32">
    <w:abstractNumId w:val="17"/>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0947"/>
    <w:rsid w:val="0009123A"/>
    <w:rsid w:val="000951B4"/>
    <w:rsid w:val="000A1A21"/>
    <w:rsid w:val="000A77B5"/>
    <w:rsid w:val="000A7B66"/>
    <w:rsid w:val="000C39C6"/>
    <w:rsid w:val="000D1743"/>
    <w:rsid w:val="000E57DB"/>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81310"/>
    <w:rsid w:val="0029712E"/>
    <w:rsid w:val="002C1F75"/>
    <w:rsid w:val="002D6857"/>
    <w:rsid w:val="002E1956"/>
    <w:rsid w:val="00333DB9"/>
    <w:rsid w:val="00343601"/>
    <w:rsid w:val="00346358"/>
    <w:rsid w:val="00346DBD"/>
    <w:rsid w:val="00347624"/>
    <w:rsid w:val="00367E00"/>
    <w:rsid w:val="003705BB"/>
    <w:rsid w:val="003747A5"/>
    <w:rsid w:val="00386688"/>
    <w:rsid w:val="00393E96"/>
    <w:rsid w:val="003973AC"/>
    <w:rsid w:val="003C4F79"/>
    <w:rsid w:val="003D7B9E"/>
    <w:rsid w:val="00412952"/>
    <w:rsid w:val="00424DE3"/>
    <w:rsid w:val="00444048"/>
    <w:rsid w:val="00452F18"/>
    <w:rsid w:val="0046491C"/>
    <w:rsid w:val="00471ACB"/>
    <w:rsid w:val="0048490F"/>
    <w:rsid w:val="004C6BBF"/>
    <w:rsid w:val="00524356"/>
    <w:rsid w:val="00525DF2"/>
    <w:rsid w:val="00532410"/>
    <w:rsid w:val="00575478"/>
    <w:rsid w:val="005A3267"/>
    <w:rsid w:val="005D4F74"/>
    <w:rsid w:val="005F6A90"/>
    <w:rsid w:val="00634736"/>
    <w:rsid w:val="00643C7E"/>
    <w:rsid w:val="006728FD"/>
    <w:rsid w:val="0069498B"/>
    <w:rsid w:val="006D268B"/>
    <w:rsid w:val="00702BD9"/>
    <w:rsid w:val="00717C0D"/>
    <w:rsid w:val="0072136B"/>
    <w:rsid w:val="0076241F"/>
    <w:rsid w:val="00770016"/>
    <w:rsid w:val="00777181"/>
    <w:rsid w:val="00790E37"/>
    <w:rsid w:val="007A7FAD"/>
    <w:rsid w:val="007C43FB"/>
    <w:rsid w:val="007C524C"/>
    <w:rsid w:val="007D1488"/>
    <w:rsid w:val="00814E97"/>
    <w:rsid w:val="00816C18"/>
    <w:rsid w:val="00817341"/>
    <w:rsid w:val="0082452E"/>
    <w:rsid w:val="0083373E"/>
    <w:rsid w:val="008361CA"/>
    <w:rsid w:val="008460C4"/>
    <w:rsid w:val="00847389"/>
    <w:rsid w:val="00850252"/>
    <w:rsid w:val="00856FA1"/>
    <w:rsid w:val="008702E8"/>
    <w:rsid w:val="008822B3"/>
    <w:rsid w:val="008858F1"/>
    <w:rsid w:val="008911CF"/>
    <w:rsid w:val="008977B4"/>
    <w:rsid w:val="008B02A9"/>
    <w:rsid w:val="008B03B6"/>
    <w:rsid w:val="008C25CA"/>
    <w:rsid w:val="008E1DCC"/>
    <w:rsid w:val="008F3E81"/>
    <w:rsid w:val="00900E75"/>
    <w:rsid w:val="00902248"/>
    <w:rsid w:val="009156AC"/>
    <w:rsid w:val="00927C4F"/>
    <w:rsid w:val="00935EF4"/>
    <w:rsid w:val="00937AD9"/>
    <w:rsid w:val="00937D7D"/>
    <w:rsid w:val="0094239C"/>
    <w:rsid w:val="00950792"/>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62245"/>
    <w:rsid w:val="00B8686D"/>
    <w:rsid w:val="00B951FF"/>
    <w:rsid w:val="00BA646E"/>
    <w:rsid w:val="00BC7B0C"/>
    <w:rsid w:val="00BF2070"/>
    <w:rsid w:val="00BF3534"/>
    <w:rsid w:val="00C3709F"/>
    <w:rsid w:val="00C41CE1"/>
    <w:rsid w:val="00C60111"/>
    <w:rsid w:val="00C7250F"/>
    <w:rsid w:val="00C762C7"/>
    <w:rsid w:val="00C872FA"/>
    <w:rsid w:val="00C901A6"/>
    <w:rsid w:val="00CE0823"/>
    <w:rsid w:val="00CF2F92"/>
    <w:rsid w:val="00CF52FE"/>
    <w:rsid w:val="00D1242B"/>
    <w:rsid w:val="00D15396"/>
    <w:rsid w:val="00D23B79"/>
    <w:rsid w:val="00D33AF9"/>
    <w:rsid w:val="00D363F7"/>
    <w:rsid w:val="00D5296C"/>
    <w:rsid w:val="00D72985"/>
    <w:rsid w:val="00D7508B"/>
    <w:rsid w:val="00DB7D4E"/>
    <w:rsid w:val="00DE67B1"/>
    <w:rsid w:val="00DF6F7E"/>
    <w:rsid w:val="00E34F08"/>
    <w:rsid w:val="00E61AB8"/>
    <w:rsid w:val="00E706DA"/>
    <w:rsid w:val="00E83E93"/>
    <w:rsid w:val="00E90EB5"/>
    <w:rsid w:val="00E94FBF"/>
    <w:rsid w:val="00EF0C2D"/>
    <w:rsid w:val="00F07862"/>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29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EA81-7E32-46D9-B7CF-808B1803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6631</Words>
  <Characters>36471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2019-03-05T23:49:00Z</cp:lastPrinted>
  <dcterms:created xsi:type="dcterms:W3CDTF">2019-03-14T01:10:00Z</dcterms:created>
  <dcterms:modified xsi:type="dcterms:W3CDTF">2019-03-14T01:10:00Z</dcterms:modified>
</cp:coreProperties>
</file>